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FF" w:rsidRDefault="001661FF" w:rsidP="00851B3F">
      <w:pPr>
        <w:ind w:left="720" w:firstLine="720"/>
        <w:rPr>
          <w:rFonts w:ascii="Arial" w:hAnsi="Arial" w:cs="Arial"/>
          <w:b/>
          <w:sz w:val="24"/>
          <w:szCs w:val="24"/>
          <w:u w:val="single"/>
        </w:rPr>
      </w:pPr>
      <w:r>
        <w:rPr>
          <w:rFonts w:ascii="Arial" w:hAnsi="Arial" w:cs="Arial"/>
          <w:b/>
          <w:noProof/>
          <w:sz w:val="24"/>
          <w:szCs w:val="24"/>
          <w:lang w:eastAsia="en-GB"/>
        </w:rPr>
        <w:drawing>
          <wp:anchor distT="0" distB="0" distL="114300" distR="114300" simplePos="0" relativeHeight="251658240" behindDoc="0" locked="0" layoutInCell="1" allowOverlap="1">
            <wp:simplePos x="0" y="0"/>
            <wp:positionH relativeFrom="column">
              <wp:posOffset>-219075</wp:posOffset>
            </wp:positionH>
            <wp:positionV relativeFrom="paragraph">
              <wp:posOffset>1</wp:posOffset>
            </wp:positionV>
            <wp:extent cx="2666204" cy="80010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commissione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7121" cy="803376"/>
                    </a:xfrm>
                    <a:prstGeom prst="rect">
                      <a:avLst/>
                    </a:prstGeom>
                  </pic:spPr>
                </pic:pic>
              </a:graphicData>
            </a:graphic>
            <wp14:sizeRelH relativeFrom="margin">
              <wp14:pctWidth>0</wp14:pctWidth>
            </wp14:sizeRelH>
            <wp14:sizeRelV relativeFrom="margin">
              <wp14:pctHeight>0</wp14:pctHeight>
            </wp14:sizeRelV>
          </wp:anchor>
        </w:drawing>
      </w:r>
    </w:p>
    <w:p w:rsidR="001661FF" w:rsidRDefault="001661FF" w:rsidP="001661FF">
      <w:pPr>
        <w:rPr>
          <w:rFonts w:ascii="Arial" w:hAnsi="Arial" w:cs="Arial"/>
          <w:b/>
          <w:sz w:val="24"/>
          <w:szCs w:val="24"/>
          <w:u w:val="single"/>
        </w:rPr>
      </w:pPr>
    </w:p>
    <w:p w:rsidR="001661FF" w:rsidRDefault="001661FF" w:rsidP="001661FF">
      <w:pPr>
        <w:spacing w:after="0" w:line="240" w:lineRule="auto"/>
        <w:rPr>
          <w:rFonts w:ascii="Arial" w:hAnsi="Arial" w:cs="Arial"/>
          <w:b/>
          <w:sz w:val="24"/>
          <w:szCs w:val="24"/>
          <w:u w:val="single"/>
        </w:rPr>
      </w:pPr>
    </w:p>
    <w:p w:rsidR="0040066D" w:rsidRPr="00851B3F" w:rsidRDefault="0040066D" w:rsidP="001661FF">
      <w:pPr>
        <w:jc w:val="center"/>
      </w:pPr>
      <w:r w:rsidRPr="006677BF">
        <w:rPr>
          <w:rFonts w:ascii="Arial" w:hAnsi="Arial" w:cs="Arial"/>
          <w:b/>
          <w:sz w:val="24"/>
          <w:szCs w:val="24"/>
          <w:u w:val="single"/>
        </w:rPr>
        <w:t>PUBLIC MEETING</w:t>
      </w:r>
    </w:p>
    <w:p w:rsidR="001661FF" w:rsidRDefault="0040066D" w:rsidP="001661FF">
      <w:pPr>
        <w:jc w:val="center"/>
        <w:rPr>
          <w:rFonts w:ascii="Arial" w:hAnsi="Arial" w:cs="Arial"/>
          <w:b/>
          <w:sz w:val="24"/>
          <w:szCs w:val="24"/>
        </w:rPr>
      </w:pPr>
      <w:r w:rsidRPr="006677BF">
        <w:rPr>
          <w:rFonts w:ascii="Arial" w:hAnsi="Arial" w:cs="Arial"/>
          <w:b/>
          <w:sz w:val="24"/>
          <w:szCs w:val="24"/>
        </w:rPr>
        <w:t>PCC PERFORMANCE GOVER</w:t>
      </w:r>
      <w:r w:rsidR="00251276" w:rsidRPr="006677BF">
        <w:rPr>
          <w:rFonts w:ascii="Arial" w:hAnsi="Arial" w:cs="Arial"/>
          <w:b/>
          <w:sz w:val="24"/>
          <w:szCs w:val="24"/>
        </w:rPr>
        <w:t>NANCE</w:t>
      </w:r>
      <w:r w:rsidRPr="006677BF">
        <w:rPr>
          <w:rFonts w:ascii="Arial" w:hAnsi="Arial" w:cs="Arial"/>
          <w:b/>
          <w:sz w:val="24"/>
          <w:szCs w:val="24"/>
        </w:rPr>
        <w:t xml:space="preserve"> MEETING</w:t>
      </w:r>
    </w:p>
    <w:p w:rsidR="00D77565" w:rsidRPr="006677BF" w:rsidRDefault="00D77565" w:rsidP="001661FF">
      <w:pPr>
        <w:jc w:val="center"/>
        <w:rPr>
          <w:rFonts w:ascii="Arial" w:hAnsi="Arial" w:cs="Arial"/>
          <w:b/>
          <w:sz w:val="24"/>
          <w:szCs w:val="24"/>
        </w:rPr>
      </w:pPr>
      <w:r w:rsidRPr="006677BF">
        <w:rPr>
          <w:rFonts w:ascii="Arial" w:hAnsi="Arial" w:cs="Arial"/>
          <w:b/>
          <w:sz w:val="24"/>
          <w:szCs w:val="24"/>
        </w:rPr>
        <w:t>AGENDA</w:t>
      </w:r>
    </w:p>
    <w:p w:rsidR="00AA73EB" w:rsidRPr="006677BF" w:rsidRDefault="00916092" w:rsidP="006677BF">
      <w:pPr>
        <w:spacing w:after="0"/>
        <w:rPr>
          <w:rFonts w:ascii="Arial" w:hAnsi="Arial" w:cs="Arial"/>
          <w:sz w:val="24"/>
          <w:szCs w:val="24"/>
        </w:rPr>
      </w:pPr>
      <w:r>
        <w:rPr>
          <w:rFonts w:ascii="Arial" w:hAnsi="Arial" w:cs="Arial"/>
          <w:sz w:val="24"/>
          <w:szCs w:val="24"/>
        </w:rPr>
        <w:t>Friday</w:t>
      </w:r>
      <w:r w:rsidR="00ED0CD3">
        <w:rPr>
          <w:rFonts w:ascii="Arial" w:hAnsi="Arial" w:cs="Arial"/>
          <w:sz w:val="24"/>
          <w:szCs w:val="24"/>
        </w:rPr>
        <w:t xml:space="preserve"> </w:t>
      </w:r>
      <w:r>
        <w:rPr>
          <w:rFonts w:ascii="Arial" w:hAnsi="Arial" w:cs="Arial"/>
          <w:sz w:val="24"/>
          <w:szCs w:val="24"/>
        </w:rPr>
        <w:t>9</w:t>
      </w:r>
      <w:r w:rsidR="007577D1" w:rsidRPr="007577D1">
        <w:rPr>
          <w:rFonts w:ascii="Arial" w:hAnsi="Arial" w:cs="Arial"/>
          <w:sz w:val="24"/>
          <w:szCs w:val="24"/>
          <w:vertAlign w:val="superscript"/>
        </w:rPr>
        <w:t>th</w:t>
      </w:r>
      <w:r w:rsidR="007577D1">
        <w:rPr>
          <w:rFonts w:ascii="Arial" w:hAnsi="Arial" w:cs="Arial"/>
          <w:sz w:val="24"/>
          <w:szCs w:val="24"/>
        </w:rPr>
        <w:t xml:space="preserve"> </w:t>
      </w:r>
      <w:r w:rsidR="00851B3F">
        <w:rPr>
          <w:rFonts w:ascii="Arial" w:hAnsi="Arial" w:cs="Arial"/>
          <w:sz w:val="24"/>
          <w:szCs w:val="24"/>
        </w:rPr>
        <w:t>November</w:t>
      </w:r>
      <w:r w:rsidR="00ED0CD3">
        <w:rPr>
          <w:rFonts w:ascii="Arial" w:hAnsi="Arial" w:cs="Arial"/>
          <w:sz w:val="24"/>
          <w:szCs w:val="24"/>
        </w:rPr>
        <w:t xml:space="preserve"> </w:t>
      </w:r>
      <w:r w:rsidR="00726E79">
        <w:rPr>
          <w:rFonts w:ascii="Arial" w:hAnsi="Arial" w:cs="Arial"/>
          <w:sz w:val="24"/>
          <w:szCs w:val="24"/>
        </w:rPr>
        <w:t>2018</w:t>
      </w:r>
      <w:r>
        <w:rPr>
          <w:rFonts w:ascii="Arial" w:hAnsi="Arial" w:cs="Arial"/>
          <w:sz w:val="24"/>
          <w:szCs w:val="24"/>
        </w:rPr>
        <w:t>, 09:00</w:t>
      </w:r>
      <w:r w:rsidR="00EE401E" w:rsidRPr="006677BF">
        <w:rPr>
          <w:rFonts w:ascii="Arial" w:hAnsi="Arial" w:cs="Arial"/>
          <w:sz w:val="24"/>
          <w:szCs w:val="24"/>
        </w:rPr>
        <w:t xml:space="preserve"> – 1</w:t>
      </w:r>
      <w:r>
        <w:rPr>
          <w:rFonts w:ascii="Arial" w:hAnsi="Arial" w:cs="Arial"/>
          <w:sz w:val="24"/>
          <w:szCs w:val="24"/>
        </w:rPr>
        <w:t>1</w:t>
      </w:r>
      <w:r w:rsidR="00AA2FD0" w:rsidRPr="006677BF">
        <w:rPr>
          <w:rFonts w:ascii="Arial" w:hAnsi="Arial" w:cs="Arial"/>
          <w:sz w:val="24"/>
          <w:szCs w:val="24"/>
        </w:rPr>
        <w:t>:00.</w:t>
      </w:r>
    </w:p>
    <w:p w:rsidR="0040066D" w:rsidRPr="006677BF" w:rsidRDefault="0040066D" w:rsidP="006677BF">
      <w:pPr>
        <w:spacing w:after="0"/>
        <w:rPr>
          <w:rFonts w:ascii="Arial" w:hAnsi="Arial" w:cs="Arial"/>
          <w:sz w:val="24"/>
          <w:szCs w:val="24"/>
        </w:rPr>
      </w:pPr>
      <w:r w:rsidRPr="006677BF">
        <w:rPr>
          <w:rFonts w:ascii="Arial" w:hAnsi="Arial" w:cs="Arial"/>
          <w:sz w:val="24"/>
          <w:szCs w:val="24"/>
        </w:rPr>
        <w:t>Oak Room, County Buildings, Martin Street</w:t>
      </w:r>
    </w:p>
    <w:p w:rsidR="0040066D" w:rsidRDefault="0040066D" w:rsidP="006677BF">
      <w:pPr>
        <w:spacing w:after="0"/>
        <w:rPr>
          <w:rFonts w:ascii="Arial" w:hAnsi="Arial" w:cs="Arial"/>
          <w:sz w:val="24"/>
          <w:szCs w:val="24"/>
        </w:rPr>
      </w:pPr>
      <w:r w:rsidRPr="006677BF">
        <w:rPr>
          <w:rFonts w:ascii="Arial" w:hAnsi="Arial" w:cs="Arial"/>
          <w:sz w:val="24"/>
          <w:szCs w:val="24"/>
        </w:rPr>
        <w:t>Stafford ST16 2LH</w:t>
      </w:r>
    </w:p>
    <w:p w:rsidR="006677BF" w:rsidRPr="006677BF" w:rsidRDefault="006677BF" w:rsidP="006677BF">
      <w:pPr>
        <w:spacing w:after="0"/>
        <w:rPr>
          <w:rFonts w:ascii="Arial" w:hAnsi="Arial" w:cs="Arial"/>
          <w:sz w:val="24"/>
          <w:szCs w:val="24"/>
        </w:rPr>
      </w:pPr>
    </w:p>
    <w:p w:rsidR="0040066D" w:rsidRPr="006677BF" w:rsidRDefault="0040066D" w:rsidP="0040066D">
      <w:pPr>
        <w:rPr>
          <w:rFonts w:ascii="Arial" w:hAnsi="Arial" w:cs="Arial"/>
          <w:b/>
          <w:sz w:val="24"/>
          <w:szCs w:val="24"/>
          <w:u w:val="single"/>
        </w:rPr>
      </w:pPr>
      <w:r w:rsidRPr="006677BF">
        <w:rPr>
          <w:rFonts w:ascii="Arial" w:hAnsi="Arial" w:cs="Arial"/>
          <w:b/>
          <w:sz w:val="24"/>
          <w:szCs w:val="24"/>
          <w:u w:val="single"/>
        </w:rPr>
        <w:t>SCRUTINY ITEMS</w:t>
      </w:r>
    </w:p>
    <w:p w:rsidR="00D43C45" w:rsidRPr="006677BF" w:rsidRDefault="0040066D" w:rsidP="00DB4945">
      <w:pPr>
        <w:pStyle w:val="ListParagraph"/>
        <w:numPr>
          <w:ilvl w:val="0"/>
          <w:numId w:val="1"/>
        </w:numPr>
        <w:spacing w:before="240" w:line="240" w:lineRule="auto"/>
        <w:rPr>
          <w:rFonts w:ascii="Arial" w:hAnsi="Arial" w:cs="Arial"/>
          <w:b/>
          <w:sz w:val="24"/>
          <w:szCs w:val="24"/>
        </w:rPr>
      </w:pPr>
      <w:r w:rsidRPr="006677BF">
        <w:rPr>
          <w:rFonts w:ascii="Arial" w:hAnsi="Arial" w:cs="Arial"/>
          <w:b/>
          <w:sz w:val="24"/>
          <w:szCs w:val="24"/>
        </w:rPr>
        <w:t>ACTIONS FROM PREVIOUS MEETING HELD ON</w:t>
      </w:r>
      <w:r w:rsidR="008874C4">
        <w:rPr>
          <w:rFonts w:ascii="Arial" w:hAnsi="Arial" w:cs="Arial"/>
          <w:b/>
          <w:sz w:val="24"/>
          <w:szCs w:val="24"/>
        </w:rPr>
        <w:t xml:space="preserve"> </w:t>
      </w:r>
      <w:r w:rsidR="007577D1">
        <w:rPr>
          <w:rFonts w:ascii="Arial" w:hAnsi="Arial" w:cs="Arial"/>
          <w:b/>
          <w:sz w:val="24"/>
          <w:szCs w:val="24"/>
        </w:rPr>
        <w:t>5</w:t>
      </w:r>
      <w:r w:rsidR="007577D1" w:rsidRPr="007577D1">
        <w:rPr>
          <w:rFonts w:ascii="Arial" w:hAnsi="Arial" w:cs="Arial"/>
          <w:b/>
          <w:sz w:val="24"/>
          <w:szCs w:val="24"/>
          <w:vertAlign w:val="superscript"/>
        </w:rPr>
        <w:t>th</w:t>
      </w:r>
      <w:r w:rsidR="007577D1">
        <w:rPr>
          <w:rFonts w:ascii="Arial" w:hAnsi="Arial" w:cs="Arial"/>
          <w:b/>
          <w:sz w:val="24"/>
          <w:szCs w:val="24"/>
        </w:rPr>
        <w:t xml:space="preserve"> May 2018</w:t>
      </w:r>
      <w:r w:rsidR="00AA2FD0" w:rsidRPr="006677BF">
        <w:rPr>
          <w:rFonts w:ascii="Arial" w:hAnsi="Arial" w:cs="Arial"/>
          <w:b/>
          <w:sz w:val="24"/>
          <w:szCs w:val="24"/>
        </w:rPr>
        <w:t>.</w:t>
      </w:r>
    </w:p>
    <w:tbl>
      <w:tblPr>
        <w:tblStyle w:val="TableGrid"/>
        <w:tblW w:w="0" w:type="auto"/>
        <w:tblLayout w:type="fixed"/>
        <w:tblLook w:val="04A0" w:firstRow="1" w:lastRow="0" w:firstColumn="1" w:lastColumn="0" w:noHBand="0" w:noVBand="1"/>
      </w:tblPr>
      <w:tblGrid>
        <w:gridCol w:w="647"/>
        <w:gridCol w:w="9117"/>
        <w:gridCol w:w="579"/>
      </w:tblGrid>
      <w:tr w:rsidR="007577D1" w:rsidRPr="00796A22" w:rsidTr="00770827">
        <w:tc>
          <w:tcPr>
            <w:tcW w:w="647" w:type="dxa"/>
            <w:shd w:val="clear" w:color="auto" w:fill="A6A6A6" w:themeFill="background1" w:themeFillShade="A6"/>
          </w:tcPr>
          <w:p w:rsidR="007577D1" w:rsidRPr="00851B3F" w:rsidRDefault="007577D1" w:rsidP="00770827">
            <w:pPr>
              <w:tabs>
                <w:tab w:val="left" w:pos="2924"/>
              </w:tabs>
              <w:jc w:val="center"/>
              <w:rPr>
                <w:b/>
                <w:color w:val="FFFFFF" w:themeColor="background1"/>
                <w:sz w:val="16"/>
                <w:szCs w:val="16"/>
              </w:rPr>
            </w:pPr>
            <w:r w:rsidRPr="00851B3F">
              <w:rPr>
                <w:b/>
                <w:color w:val="FFFFFF" w:themeColor="background1"/>
                <w:sz w:val="16"/>
                <w:szCs w:val="16"/>
              </w:rPr>
              <w:t>Action No</w:t>
            </w:r>
          </w:p>
        </w:tc>
        <w:tc>
          <w:tcPr>
            <w:tcW w:w="9117" w:type="dxa"/>
            <w:shd w:val="clear" w:color="auto" w:fill="A6A6A6" w:themeFill="background1" w:themeFillShade="A6"/>
          </w:tcPr>
          <w:p w:rsidR="007577D1" w:rsidRPr="00796A22" w:rsidRDefault="007577D1" w:rsidP="00770827">
            <w:pPr>
              <w:tabs>
                <w:tab w:val="left" w:pos="2924"/>
              </w:tabs>
              <w:rPr>
                <w:b/>
                <w:color w:val="808080" w:themeColor="background1" w:themeShade="80"/>
                <w:sz w:val="24"/>
                <w:szCs w:val="24"/>
              </w:rPr>
            </w:pPr>
            <w:r w:rsidRPr="00796A22">
              <w:rPr>
                <w:b/>
                <w:color w:val="FFFFFF" w:themeColor="background1"/>
                <w:sz w:val="24"/>
                <w:szCs w:val="24"/>
              </w:rPr>
              <w:t>Actions Outstanding and Arising From This Meeting</w:t>
            </w:r>
          </w:p>
        </w:tc>
        <w:tc>
          <w:tcPr>
            <w:tcW w:w="579" w:type="dxa"/>
            <w:shd w:val="clear" w:color="auto" w:fill="A6A6A6" w:themeFill="background1" w:themeFillShade="A6"/>
          </w:tcPr>
          <w:p w:rsidR="007577D1" w:rsidRPr="007427E6" w:rsidRDefault="007577D1" w:rsidP="00770827">
            <w:pPr>
              <w:tabs>
                <w:tab w:val="left" w:pos="2924"/>
              </w:tabs>
              <w:rPr>
                <w:b/>
                <w:color w:val="808080" w:themeColor="background1" w:themeShade="80"/>
                <w:sz w:val="18"/>
                <w:szCs w:val="18"/>
              </w:rPr>
            </w:pPr>
            <w:r w:rsidRPr="007427E6">
              <w:rPr>
                <w:b/>
                <w:color w:val="FFFFFF" w:themeColor="background1"/>
                <w:sz w:val="18"/>
                <w:szCs w:val="18"/>
              </w:rPr>
              <w:t>Who</w:t>
            </w:r>
          </w:p>
        </w:tc>
      </w:tr>
      <w:tr w:rsidR="007577D1" w:rsidRPr="007427E6" w:rsidTr="00770827">
        <w:tc>
          <w:tcPr>
            <w:tcW w:w="647" w:type="dxa"/>
          </w:tcPr>
          <w:p w:rsidR="007577D1" w:rsidRPr="00851B3F" w:rsidRDefault="007577D1" w:rsidP="00770827">
            <w:pPr>
              <w:tabs>
                <w:tab w:val="left" w:pos="2924"/>
              </w:tabs>
            </w:pPr>
            <w:r w:rsidRPr="00851B3F">
              <w:t>006</w:t>
            </w:r>
          </w:p>
        </w:tc>
        <w:tc>
          <w:tcPr>
            <w:tcW w:w="9117" w:type="dxa"/>
          </w:tcPr>
          <w:p w:rsidR="007577D1" w:rsidRDefault="007577D1" w:rsidP="00770827">
            <w:pPr>
              <w:tabs>
                <w:tab w:val="left" w:pos="2924"/>
              </w:tabs>
            </w:pPr>
            <w:r w:rsidRPr="007427E6">
              <w:rPr>
                <w:u w:val="single"/>
              </w:rPr>
              <w:t xml:space="preserve">Resolution Centre </w:t>
            </w:r>
            <w:r w:rsidRPr="007427E6">
              <w:t xml:space="preserve">- Future agenda item for February 2019.  GM will bring back monitoring report on the county-wide operation of the resolution </w:t>
            </w:r>
            <w:r>
              <w:t xml:space="preserve">centre </w:t>
            </w:r>
            <w:r w:rsidRPr="007427E6">
              <w:t xml:space="preserve">during its first 6-9 months.  To identify whether it is delivering the level of confidence expected.  </w:t>
            </w:r>
          </w:p>
          <w:p w:rsidR="006735B9" w:rsidRPr="000D22E3" w:rsidRDefault="007577D1" w:rsidP="00770827">
            <w:pPr>
              <w:tabs>
                <w:tab w:val="left" w:pos="2924"/>
              </w:tabs>
            </w:pPr>
            <w:r w:rsidRPr="007427E6">
              <w:rPr>
                <w:b/>
              </w:rPr>
              <w:t>Update 01.05.18</w:t>
            </w:r>
            <w:r>
              <w:t xml:space="preserve"> – On Track for delivery of report at the February meeting.</w:t>
            </w:r>
          </w:p>
        </w:tc>
        <w:tc>
          <w:tcPr>
            <w:tcW w:w="579" w:type="dxa"/>
          </w:tcPr>
          <w:p w:rsidR="007577D1" w:rsidRPr="00851B3F" w:rsidRDefault="007577D1" w:rsidP="00770827">
            <w:pPr>
              <w:tabs>
                <w:tab w:val="left" w:pos="2924"/>
              </w:tabs>
              <w:jc w:val="center"/>
              <w:rPr>
                <w:b/>
                <w:highlight w:val="yellow"/>
              </w:rPr>
            </w:pPr>
            <w:r w:rsidRPr="00851B3F">
              <w:rPr>
                <w:b/>
              </w:rPr>
              <w:t>GM</w:t>
            </w:r>
          </w:p>
        </w:tc>
      </w:tr>
      <w:tr w:rsidR="007577D1" w:rsidRPr="007427E6" w:rsidTr="00770827">
        <w:tc>
          <w:tcPr>
            <w:tcW w:w="647" w:type="dxa"/>
          </w:tcPr>
          <w:p w:rsidR="007577D1" w:rsidRPr="007427E6" w:rsidRDefault="007577D1" w:rsidP="00770827">
            <w:pPr>
              <w:tabs>
                <w:tab w:val="left" w:pos="2924"/>
              </w:tabs>
              <w:rPr>
                <w:i/>
              </w:rPr>
            </w:pPr>
            <w:r w:rsidRPr="007427E6">
              <w:rPr>
                <w:i/>
              </w:rPr>
              <w:t>007</w:t>
            </w:r>
          </w:p>
        </w:tc>
        <w:tc>
          <w:tcPr>
            <w:tcW w:w="9117" w:type="dxa"/>
          </w:tcPr>
          <w:p w:rsidR="007577D1" w:rsidRDefault="007577D1" w:rsidP="00770827">
            <w:pPr>
              <w:tabs>
                <w:tab w:val="left" w:pos="2924"/>
              </w:tabs>
            </w:pPr>
            <w:r w:rsidRPr="007427E6">
              <w:rPr>
                <w:u w:val="single"/>
              </w:rPr>
              <w:t>Crime Variations</w:t>
            </w:r>
            <w:r>
              <w:rPr>
                <w:u w:val="single"/>
              </w:rPr>
              <w:t xml:space="preserve"> (Performance)</w:t>
            </w:r>
            <w:r>
              <w:t xml:space="preserve"> - </w:t>
            </w:r>
            <w:r w:rsidRPr="007427E6">
              <w:t xml:space="preserve">GM to provide </w:t>
            </w:r>
            <w:r w:rsidR="00851B3F">
              <w:t xml:space="preserve">next </w:t>
            </w:r>
            <w:r w:rsidRPr="007427E6">
              <w:t>meeting with detail behind the variations in crime across the county.  Detailed overview of what the trends are in relation to areas and specific plan of action for the crimes that sit behind the figures.  To include an understanding of the uplift in vehicle crime, particular</w:t>
            </w:r>
            <w:r>
              <w:t>ly</w:t>
            </w:r>
            <w:r w:rsidRPr="007427E6">
              <w:t xml:space="preserve"> in the South of the county.</w:t>
            </w:r>
          </w:p>
          <w:p w:rsidR="006735B9" w:rsidRPr="008308F0" w:rsidRDefault="008308F0" w:rsidP="00770827">
            <w:pPr>
              <w:tabs>
                <w:tab w:val="left" w:pos="2924"/>
              </w:tabs>
              <w:rPr>
                <w:b/>
              </w:rPr>
            </w:pPr>
            <w:r>
              <w:rPr>
                <w:b/>
              </w:rPr>
              <w:t>Tabled below</w:t>
            </w:r>
            <w:r w:rsidRPr="008308F0">
              <w:rPr>
                <w:b/>
              </w:rPr>
              <w:t>.</w:t>
            </w:r>
          </w:p>
        </w:tc>
        <w:tc>
          <w:tcPr>
            <w:tcW w:w="579" w:type="dxa"/>
          </w:tcPr>
          <w:p w:rsidR="007577D1" w:rsidRPr="00851B3F" w:rsidRDefault="007577D1" w:rsidP="00770827">
            <w:pPr>
              <w:tabs>
                <w:tab w:val="left" w:pos="2924"/>
              </w:tabs>
              <w:jc w:val="center"/>
              <w:rPr>
                <w:b/>
              </w:rPr>
            </w:pPr>
            <w:r w:rsidRPr="00851B3F">
              <w:rPr>
                <w:b/>
              </w:rPr>
              <w:t>GM</w:t>
            </w:r>
          </w:p>
          <w:p w:rsidR="007577D1" w:rsidRPr="00851B3F" w:rsidRDefault="007577D1" w:rsidP="00770827">
            <w:pPr>
              <w:tabs>
                <w:tab w:val="left" w:pos="2924"/>
              </w:tabs>
              <w:jc w:val="center"/>
              <w:rPr>
                <w:b/>
              </w:rPr>
            </w:pPr>
          </w:p>
        </w:tc>
      </w:tr>
      <w:tr w:rsidR="007577D1" w:rsidRPr="007427E6" w:rsidTr="00770827">
        <w:tc>
          <w:tcPr>
            <w:tcW w:w="647" w:type="dxa"/>
          </w:tcPr>
          <w:p w:rsidR="007577D1" w:rsidRPr="007427E6" w:rsidRDefault="007577D1" w:rsidP="00770827">
            <w:pPr>
              <w:tabs>
                <w:tab w:val="left" w:pos="2924"/>
              </w:tabs>
              <w:rPr>
                <w:i/>
              </w:rPr>
            </w:pPr>
            <w:r w:rsidRPr="007427E6">
              <w:rPr>
                <w:i/>
              </w:rPr>
              <w:t>008</w:t>
            </w:r>
          </w:p>
        </w:tc>
        <w:tc>
          <w:tcPr>
            <w:tcW w:w="9117" w:type="dxa"/>
          </w:tcPr>
          <w:p w:rsidR="006735B9" w:rsidRPr="000D22E3" w:rsidRDefault="007577D1" w:rsidP="00770827">
            <w:pPr>
              <w:tabs>
                <w:tab w:val="left" w:pos="2924"/>
              </w:tabs>
            </w:pPr>
            <w:r w:rsidRPr="006C04E5">
              <w:rPr>
                <w:u w:val="single"/>
              </w:rPr>
              <w:t>Anti-Social Behaviour (ASB</w:t>
            </w:r>
            <w:r>
              <w:t xml:space="preserve">) - </w:t>
            </w:r>
            <w:r w:rsidRPr="007427E6">
              <w:t>NA to send ME t</w:t>
            </w:r>
            <w:r>
              <w:t>he ASB plan developed for Stoke-on-</w:t>
            </w:r>
            <w:r w:rsidRPr="007427E6">
              <w:t xml:space="preserve">Trent.  </w:t>
            </w:r>
            <w:r>
              <w:t xml:space="preserve">Plans for Stoke Central are of </w:t>
            </w:r>
            <w:r w:rsidRPr="007427E6">
              <w:t>particular interest</w:t>
            </w:r>
            <w:r>
              <w:t>.</w:t>
            </w:r>
          </w:p>
        </w:tc>
        <w:tc>
          <w:tcPr>
            <w:tcW w:w="579" w:type="dxa"/>
          </w:tcPr>
          <w:p w:rsidR="007577D1" w:rsidRPr="00851B3F" w:rsidRDefault="007577D1" w:rsidP="00770827">
            <w:pPr>
              <w:tabs>
                <w:tab w:val="left" w:pos="2924"/>
              </w:tabs>
              <w:jc w:val="center"/>
              <w:rPr>
                <w:b/>
              </w:rPr>
            </w:pPr>
            <w:r w:rsidRPr="00851B3F">
              <w:rPr>
                <w:b/>
              </w:rPr>
              <w:t xml:space="preserve">GM </w:t>
            </w:r>
          </w:p>
        </w:tc>
      </w:tr>
      <w:tr w:rsidR="007577D1" w:rsidRPr="007427E6" w:rsidTr="00770827">
        <w:tc>
          <w:tcPr>
            <w:tcW w:w="647" w:type="dxa"/>
          </w:tcPr>
          <w:p w:rsidR="007577D1" w:rsidRPr="007427E6" w:rsidRDefault="007577D1" w:rsidP="00770827">
            <w:pPr>
              <w:tabs>
                <w:tab w:val="left" w:pos="2924"/>
              </w:tabs>
              <w:rPr>
                <w:i/>
              </w:rPr>
            </w:pPr>
            <w:r w:rsidRPr="007427E6">
              <w:rPr>
                <w:i/>
              </w:rPr>
              <w:t>009</w:t>
            </w:r>
          </w:p>
        </w:tc>
        <w:tc>
          <w:tcPr>
            <w:tcW w:w="9117" w:type="dxa"/>
          </w:tcPr>
          <w:p w:rsidR="006735B9" w:rsidRPr="000D22E3" w:rsidRDefault="007577D1" w:rsidP="00770827">
            <w:pPr>
              <w:tabs>
                <w:tab w:val="left" w:pos="2924"/>
              </w:tabs>
            </w:pPr>
            <w:r w:rsidRPr="006C04E5">
              <w:rPr>
                <w:u w:val="single"/>
              </w:rPr>
              <w:t>Assaults on Officers</w:t>
            </w:r>
            <w:r w:rsidRPr="007427E6">
              <w:rPr>
                <w:i/>
              </w:rPr>
              <w:t xml:space="preserve"> –</w:t>
            </w:r>
            <w:r w:rsidRPr="007427E6">
              <w:t xml:space="preserve"> GM to provide a report to the PCC identifying any reasons for the variation in the picture of assaults </w:t>
            </w:r>
            <w:r>
              <w:t xml:space="preserve">on officers </w:t>
            </w:r>
            <w:r w:rsidRPr="007427E6">
              <w:t>across the county.</w:t>
            </w:r>
          </w:p>
        </w:tc>
        <w:tc>
          <w:tcPr>
            <w:tcW w:w="579" w:type="dxa"/>
          </w:tcPr>
          <w:p w:rsidR="007577D1" w:rsidRPr="00851B3F" w:rsidRDefault="007577D1" w:rsidP="00770827">
            <w:pPr>
              <w:tabs>
                <w:tab w:val="left" w:pos="2924"/>
              </w:tabs>
              <w:jc w:val="center"/>
              <w:rPr>
                <w:b/>
              </w:rPr>
            </w:pPr>
            <w:r w:rsidRPr="00851B3F">
              <w:rPr>
                <w:b/>
              </w:rPr>
              <w:t>GM</w:t>
            </w:r>
          </w:p>
        </w:tc>
      </w:tr>
      <w:tr w:rsidR="007577D1" w:rsidRPr="007427E6" w:rsidTr="00770827">
        <w:tc>
          <w:tcPr>
            <w:tcW w:w="647" w:type="dxa"/>
          </w:tcPr>
          <w:p w:rsidR="007577D1" w:rsidRPr="007427E6" w:rsidRDefault="007577D1" w:rsidP="00770827">
            <w:pPr>
              <w:tabs>
                <w:tab w:val="left" w:pos="2924"/>
              </w:tabs>
              <w:rPr>
                <w:i/>
              </w:rPr>
            </w:pPr>
            <w:r w:rsidRPr="007427E6">
              <w:rPr>
                <w:i/>
              </w:rPr>
              <w:t>010</w:t>
            </w:r>
          </w:p>
        </w:tc>
        <w:tc>
          <w:tcPr>
            <w:tcW w:w="9117" w:type="dxa"/>
          </w:tcPr>
          <w:p w:rsidR="007577D1" w:rsidRDefault="007577D1" w:rsidP="00770827">
            <w:pPr>
              <w:tabs>
                <w:tab w:val="left" w:pos="2924"/>
              </w:tabs>
            </w:pPr>
            <w:r w:rsidRPr="006C04E5">
              <w:rPr>
                <w:u w:val="single"/>
              </w:rPr>
              <w:t>Stop and Search and Knife Crime</w:t>
            </w:r>
            <w:r w:rsidRPr="007427E6">
              <w:t xml:space="preserve"> </w:t>
            </w:r>
            <w:r>
              <w:t>- R</w:t>
            </w:r>
            <w:r w:rsidRPr="007427E6">
              <w:t xml:space="preserve">eport to come back to the next meeting to identify whether there has been further progress on the work of the Force around knife crime. </w:t>
            </w:r>
          </w:p>
          <w:p w:rsidR="00950127" w:rsidRPr="000D22E3" w:rsidRDefault="008308F0" w:rsidP="00770827">
            <w:pPr>
              <w:tabs>
                <w:tab w:val="left" w:pos="2924"/>
              </w:tabs>
              <w:rPr>
                <w:b/>
              </w:rPr>
            </w:pPr>
            <w:r>
              <w:rPr>
                <w:b/>
              </w:rPr>
              <w:t>Tabled below</w:t>
            </w:r>
            <w:r w:rsidRPr="008308F0">
              <w:rPr>
                <w:b/>
              </w:rPr>
              <w:t>.</w:t>
            </w:r>
          </w:p>
        </w:tc>
        <w:tc>
          <w:tcPr>
            <w:tcW w:w="579" w:type="dxa"/>
          </w:tcPr>
          <w:p w:rsidR="007577D1" w:rsidRPr="00851B3F" w:rsidRDefault="007577D1" w:rsidP="00770827">
            <w:pPr>
              <w:tabs>
                <w:tab w:val="left" w:pos="2924"/>
              </w:tabs>
              <w:jc w:val="center"/>
              <w:rPr>
                <w:b/>
              </w:rPr>
            </w:pPr>
            <w:r w:rsidRPr="00851B3F">
              <w:rPr>
                <w:b/>
              </w:rPr>
              <w:t>GM</w:t>
            </w:r>
          </w:p>
        </w:tc>
      </w:tr>
      <w:tr w:rsidR="007577D1" w:rsidRPr="007427E6" w:rsidTr="00770827">
        <w:tc>
          <w:tcPr>
            <w:tcW w:w="647" w:type="dxa"/>
          </w:tcPr>
          <w:p w:rsidR="007577D1" w:rsidRPr="007427E6" w:rsidRDefault="007577D1" w:rsidP="00770827">
            <w:pPr>
              <w:tabs>
                <w:tab w:val="left" w:pos="2924"/>
              </w:tabs>
              <w:rPr>
                <w:i/>
              </w:rPr>
            </w:pPr>
            <w:r>
              <w:rPr>
                <w:i/>
              </w:rPr>
              <w:t>011</w:t>
            </w:r>
          </w:p>
        </w:tc>
        <w:tc>
          <w:tcPr>
            <w:tcW w:w="9117" w:type="dxa"/>
          </w:tcPr>
          <w:p w:rsidR="007577D1" w:rsidRDefault="007577D1" w:rsidP="00770827">
            <w:pPr>
              <w:tabs>
                <w:tab w:val="left" w:pos="2924"/>
              </w:tabs>
            </w:pPr>
            <w:r w:rsidRPr="006C04E5">
              <w:rPr>
                <w:u w:val="single"/>
              </w:rPr>
              <w:t>Local Policing and Partnership Working</w:t>
            </w:r>
            <w:r>
              <w:t xml:space="preserve"> - </w:t>
            </w:r>
            <w:r w:rsidRPr="007427E6">
              <w:t>Examples of problem solvi</w:t>
            </w:r>
            <w:r>
              <w:t>ng packages to be provided</w:t>
            </w:r>
            <w:r w:rsidRPr="007427E6">
              <w:t xml:space="preserve"> in the refresh of the performance report for the next meeting.</w:t>
            </w:r>
          </w:p>
          <w:p w:rsidR="00950127" w:rsidRPr="00950127" w:rsidRDefault="008308F0" w:rsidP="00770827">
            <w:pPr>
              <w:tabs>
                <w:tab w:val="left" w:pos="2924"/>
              </w:tabs>
              <w:rPr>
                <w:b/>
              </w:rPr>
            </w:pPr>
            <w:r>
              <w:rPr>
                <w:b/>
              </w:rPr>
              <w:t>Tabled below</w:t>
            </w:r>
            <w:r w:rsidRPr="008308F0">
              <w:rPr>
                <w:b/>
              </w:rPr>
              <w:t>.</w:t>
            </w:r>
          </w:p>
        </w:tc>
        <w:tc>
          <w:tcPr>
            <w:tcW w:w="579" w:type="dxa"/>
          </w:tcPr>
          <w:p w:rsidR="007577D1" w:rsidRPr="00851B3F" w:rsidRDefault="007577D1" w:rsidP="00770827">
            <w:pPr>
              <w:tabs>
                <w:tab w:val="left" w:pos="2924"/>
              </w:tabs>
              <w:jc w:val="center"/>
              <w:rPr>
                <w:b/>
              </w:rPr>
            </w:pPr>
            <w:r w:rsidRPr="00851B3F">
              <w:rPr>
                <w:b/>
              </w:rPr>
              <w:t>GM</w:t>
            </w:r>
          </w:p>
        </w:tc>
      </w:tr>
    </w:tbl>
    <w:p w:rsidR="007A0EF1" w:rsidRPr="006677BF" w:rsidRDefault="007A0EF1" w:rsidP="00AA73EB">
      <w:pPr>
        <w:spacing w:line="240" w:lineRule="auto"/>
        <w:jc w:val="both"/>
        <w:rPr>
          <w:rFonts w:ascii="Arial" w:hAnsi="Arial" w:cs="Arial"/>
          <w:sz w:val="24"/>
          <w:szCs w:val="24"/>
        </w:rPr>
      </w:pPr>
    </w:p>
    <w:p w:rsidR="000C417D" w:rsidRDefault="0040066D" w:rsidP="007A0EF1">
      <w:pPr>
        <w:pStyle w:val="ListParagraph"/>
        <w:numPr>
          <w:ilvl w:val="0"/>
          <w:numId w:val="1"/>
        </w:numPr>
        <w:spacing w:after="0" w:line="240" w:lineRule="auto"/>
        <w:rPr>
          <w:rFonts w:ascii="Arial" w:hAnsi="Arial" w:cs="Arial"/>
          <w:b/>
          <w:sz w:val="24"/>
          <w:szCs w:val="24"/>
        </w:rPr>
      </w:pPr>
      <w:r w:rsidRPr="006677BF">
        <w:rPr>
          <w:rFonts w:ascii="Arial" w:hAnsi="Arial" w:cs="Arial"/>
          <w:b/>
          <w:sz w:val="24"/>
          <w:szCs w:val="24"/>
        </w:rPr>
        <w:t xml:space="preserve">FORCE PERFORMANCE </w:t>
      </w:r>
      <w:r w:rsidR="007A0EF1" w:rsidRPr="006677BF">
        <w:rPr>
          <w:rFonts w:ascii="Arial" w:hAnsi="Arial" w:cs="Arial"/>
          <w:b/>
          <w:sz w:val="24"/>
          <w:szCs w:val="24"/>
        </w:rPr>
        <w:t>REPORT</w:t>
      </w:r>
    </w:p>
    <w:p w:rsidR="00622B6D" w:rsidRPr="000D22E3" w:rsidRDefault="00D125C8" w:rsidP="000D22E3">
      <w:pPr>
        <w:pStyle w:val="ListParagraph"/>
        <w:numPr>
          <w:ilvl w:val="0"/>
          <w:numId w:val="9"/>
        </w:numPr>
        <w:spacing w:after="0" w:line="240" w:lineRule="auto"/>
        <w:rPr>
          <w:rFonts w:ascii="Arial" w:hAnsi="Arial" w:cs="Arial"/>
          <w:b/>
          <w:sz w:val="24"/>
          <w:szCs w:val="24"/>
        </w:rPr>
      </w:pPr>
      <w:r>
        <w:rPr>
          <w:rFonts w:ascii="Arial" w:hAnsi="Arial" w:cs="Arial"/>
          <w:b/>
          <w:sz w:val="24"/>
          <w:szCs w:val="24"/>
        </w:rPr>
        <w:t>Service Offer to the people of Staffordshire</w:t>
      </w:r>
    </w:p>
    <w:p w:rsidR="00C44771" w:rsidRPr="000D22E3" w:rsidRDefault="00B07C17" w:rsidP="00622B6D">
      <w:pPr>
        <w:pStyle w:val="ListParagraph"/>
        <w:numPr>
          <w:ilvl w:val="0"/>
          <w:numId w:val="9"/>
        </w:numPr>
        <w:spacing w:after="0" w:line="240" w:lineRule="auto"/>
        <w:rPr>
          <w:rFonts w:ascii="Arial" w:hAnsi="Arial" w:cs="Arial"/>
          <w:b/>
          <w:sz w:val="24"/>
          <w:szCs w:val="24"/>
        </w:rPr>
      </w:pPr>
      <w:r>
        <w:rPr>
          <w:rFonts w:ascii="Arial" w:hAnsi="Arial" w:cs="Arial"/>
          <w:b/>
          <w:sz w:val="24"/>
          <w:szCs w:val="24"/>
        </w:rPr>
        <w:lastRenderedPageBreak/>
        <w:t>Crime Variations as per Action 007</w:t>
      </w:r>
    </w:p>
    <w:p w:rsidR="00B07C17" w:rsidRPr="000D22E3" w:rsidRDefault="00D125C8" w:rsidP="000D22E3">
      <w:pPr>
        <w:pStyle w:val="ListParagraph"/>
        <w:numPr>
          <w:ilvl w:val="0"/>
          <w:numId w:val="9"/>
        </w:numPr>
        <w:spacing w:after="0" w:line="240" w:lineRule="auto"/>
        <w:rPr>
          <w:rFonts w:ascii="Arial" w:hAnsi="Arial" w:cs="Arial"/>
          <w:b/>
          <w:sz w:val="24"/>
          <w:szCs w:val="24"/>
        </w:rPr>
      </w:pPr>
      <w:r>
        <w:rPr>
          <w:rFonts w:ascii="Arial" w:hAnsi="Arial" w:cs="Arial"/>
          <w:b/>
          <w:sz w:val="24"/>
          <w:szCs w:val="24"/>
        </w:rPr>
        <w:t>Local Policing and Partnership Working: Problem Solving Packages</w:t>
      </w:r>
    </w:p>
    <w:p w:rsidR="007D55D7" w:rsidRPr="000D22E3" w:rsidRDefault="00B07C17" w:rsidP="007D55D7">
      <w:pPr>
        <w:pStyle w:val="ListParagraph"/>
        <w:numPr>
          <w:ilvl w:val="0"/>
          <w:numId w:val="9"/>
        </w:numPr>
        <w:spacing w:after="0" w:line="240" w:lineRule="auto"/>
        <w:rPr>
          <w:rFonts w:ascii="Arial" w:hAnsi="Arial" w:cs="Arial"/>
          <w:b/>
          <w:sz w:val="24"/>
          <w:szCs w:val="24"/>
        </w:rPr>
      </w:pPr>
      <w:r>
        <w:rPr>
          <w:rFonts w:ascii="Arial" w:hAnsi="Arial" w:cs="Arial"/>
          <w:b/>
          <w:sz w:val="24"/>
          <w:szCs w:val="24"/>
        </w:rPr>
        <w:t>Stop Search and Knife Crime as per Action 010</w:t>
      </w:r>
    </w:p>
    <w:p w:rsidR="002E10FF" w:rsidRPr="002E10FF" w:rsidRDefault="00D125C8" w:rsidP="002E10FF">
      <w:pPr>
        <w:pStyle w:val="ListParagraph"/>
        <w:numPr>
          <w:ilvl w:val="0"/>
          <w:numId w:val="9"/>
        </w:numPr>
        <w:spacing w:after="0" w:line="240" w:lineRule="auto"/>
        <w:rPr>
          <w:rFonts w:ascii="Arial" w:hAnsi="Arial" w:cs="Arial"/>
          <w:b/>
          <w:sz w:val="24"/>
          <w:szCs w:val="24"/>
        </w:rPr>
      </w:pPr>
      <w:r>
        <w:rPr>
          <w:rFonts w:ascii="Arial" w:hAnsi="Arial" w:cs="Arial"/>
          <w:b/>
          <w:sz w:val="24"/>
          <w:szCs w:val="24"/>
        </w:rPr>
        <w:t xml:space="preserve">People Strategy </w:t>
      </w:r>
      <w:r w:rsidR="002E10FF">
        <w:rPr>
          <w:rFonts w:ascii="Arial" w:hAnsi="Arial" w:cs="Arial"/>
          <w:b/>
          <w:sz w:val="24"/>
          <w:szCs w:val="24"/>
        </w:rPr>
        <w:t>and Gender Pay Gap Report</w:t>
      </w:r>
    </w:p>
    <w:p w:rsidR="00EE401E" w:rsidRPr="006677BF" w:rsidRDefault="00EE401E" w:rsidP="00EE401E">
      <w:pPr>
        <w:pStyle w:val="ListParagraph"/>
        <w:spacing w:after="0" w:line="240" w:lineRule="auto"/>
        <w:ind w:left="360"/>
        <w:rPr>
          <w:rFonts w:ascii="Arial" w:hAnsi="Arial" w:cs="Arial"/>
          <w:b/>
          <w:sz w:val="24"/>
          <w:szCs w:val="24"/>
        </w:rPr>
      </w:pPr>
      <w:bookmarkStart w:id="0" w:name="_GoBack"/>
      <w:bookmarkEnd w:id="0"/>
    </w:p>
    <w:p w:rsidR="00ED0CD3" w:rsidRPr="00726E79" w:rsidRDefault="00ED0CD3" w:rsidP="00726E79">
      <w:pPr>
        <w:spacing w:after="0" w:line="240" w:lineRule="auto"/>
        <w:rPr>
          <w:rFonts w:ascii="Arial" w:hAnsi="Arial" w:cs="Arial"/>
          <w:b/>
          <w:sz w:val="24"/>
          <w:szCs w:val="24"/>
        </w:rPr>
      </w:pPr>
    </w:p>
    <w:p w:rsidR="00876139" w:rsidRPr="006677BF" w:rsidRDefault="00E807F5" w:rsidP="0040066D">
      <w:pPr>
        <w:pStyle w:val="ListParagraph"/>
        <w:numPr>
          <w:ilvl w:val="0"/>
          <w:numId w:val="1"/>
        </w:numPr>
        <w:rPr>
          <w:rFonts w:ascii="Arial" w:hAnsi="Arial" w:cs="Arial"/>
          <w:b/>
          <w:sz w:val="24"/>
          <w:szCs w:val="24"/>
        </w:rPr>
      </w:pPr>
      <w:r w:rsidRPr="006677BF">
        <w:rPr>
          <w:rFonts w:ascii="Arial" w:hAnsi="Arial" w:cs="Arial"/>
          <w:b/>
          <w:sz w:val="24"/>
          <w:szCs w:val="24"/>
        </w:rPr>
        <w:t xml:space="preserve">DATE OF NEXT </w:t>
      </w:r>
      <w:r w:rsidR="0040066D" w:rsidRPr="006677BF">
        <w:rPr>
          <w:rFonts w:ascii="Arial" w:hAnsi="Arial" w:cs="Arial"/>
          <w:b/>
          <w:sz w:val="24"/>
          <w:szCs w:val="24"/>
        </w:rPr>
        <w:t>MEETING</w:t>
      </w:r>
      <w:r w:rsidR="00391F33" w:rsidRPr="006677BF">
        <w:rPr>
          <w:rFonts w:ascii="Arial" w:hAnsi="Arial" w:cs="Arial"/>
          <w:b/>
          <w:sz w:val="24"/>
          <w:szCs w:val="24"/>
        </w:rPr>
        <w:t xml:space="preserve"> </w:t>
      </w:r>
    </w:p>
    <w:p w:rsidR="000C417D" w:rsidRPr="007A0EF1" w:rsidRDefault="00AA2FD0" w:rsidP="000C417D">
      <w:pPr>
        <w:ind w:left="360"/>
        <w:rPr>
          <w:rFonts w:ascii="Arial" w:hAnsi="Arial" w:cs="Arial"/>
          <w:sz w:val="24"/>
          <w:szCs w:val="24"/>
        </w:rPr>
      </w:pPr>
      <w:r>
        <w:rPr>
          <w:rFonts w:ascii="Arial" w:hAnsi="Arial" w:cs="Arial"/>
          <w:sz w:val="24"/>
          <w:szCs w:val="24"/>
        </w:rPr>
        <w:t xml:space="preserve">Tuesday </w:t>
      </w:r>
      <w:r w:rsidR="00851B3F">
        <w:rPr>
          <w:rFonts w:ascii="Arial" w:hAnsi="Arial" w:cs="Arial"/>
          <w:sz w:val="24"/>
          <w:szCs w:val="24"/>
        </w:rPr>
        <w:t>12</w:t>
      </w:r>
      <w:r w:rsidR="00ED0CD3" w:rsidRPr="00ED0CD3">
        <w:rPr>
          <w:rFonts w:ascii="Arial" w:hAnsi="Arial" w:cs="Arial"/>
          <w:sz w:val="24"/>
          <w:szCs w:val="24"/>
          <w:vertAlign w:val="superscript"/>
        </w:rPr>
        <w:t>th</w:t>
      </w:r>
      <w:r w:rsidR="00ED0CD3">
        <w:rPr>
          <w:rFonts w:ascii="Arial" w:hAnsi="Arial" w:cs="Arial"/>
          <w:sz w:val="24"/>
          <w:szCs w:val="24"/>
        </w:rPr>
        <w:t xml:space="preserve"> </w:t>
      </w:r>
      <w:r w:rsidR="00851B3F">
        <w:rPr>
          <w:rFonts w:ascii="Arial" w:hAnsi="Arial" w:cs="Arial"/>
          <w:sz w:val="24"/>
          <w:szCs w:val="24"/>
        </w:rPr>
        <w:t>February</w:t>
      </w:r>
      <w:r w:rsidR="00ED0CD3">
        <w:rPr>
          <w:rFonts w:ascii="Arial" w:hAnsi="Arial" w:cs="Arial"/>
          <w:sz w:val="24"/>
          <w:szCs w:val="24"/>
        </w:rPr>
        <w:t xml:space="preserve"> </w:t>
      </w:r>
      <w:r w:rsidR="00851B3F">
        <w:rPr>
          <w:rFonts w:ascii="Arial" w:hAnsi="Arial" w:cs="Arial"/>
          <w:sz w:val="24"/>
          <w:szCs w:val="24"/>
        </w:rPr>
        <w:t>2019</w:t>
      </w:r>
      <w:r w:rsidR="006677BF">
        <w:rPr>
          <w:rFonts w:ascii="Arial" w:hAnsi="Arial" w:cs="Arial"/>
          <w:sz w:val="24"/>
          <w:szCs w:val="24"/>
        </w:rPr>
        <w:t>,</w:t>
      </w:r>
      <w:r w:rsidR="00EE401E">
        <w:rPr>
          <w:rFonts w:ascii="Arial" w:hAnsi="Arial" w:cs="Arial"/>
          <w:sz w:val="24"/>
          <w:szCs w:val="24"/>
        </w:rPr>
        <w:t xml:space="preserve"> 10:00 – 12</w:t>
      </w:r>
      <w:r>
        <w:rPr>
          <w:rFonts w:ascii="Arial" w:hAnsi="Arial" w:cs="Arial"/>
          <w:sz w:val="24"/>
          <w:szCs w:val="24"/>
        </w:rPr>
        <w:t>:00</w:t>
      </w:r>
      <w:r w:rsidR="007A0EF1" w:rsidRPr="007A0EF1">
        <w:rPr>
          <w:rFonts w:ascii="Arial" w:hAnsi="Arial" w:cs="Arial"/>
          <w:sz w:val="24"/>
          <w:szCs w:val="24"/>
        </w:rPr>
        <w:t>, Oak Room County Buildings</w:t>
      </w:r>
      <w:r w:rsidR="007A0EF1">
        <w:rPr>
          <w:rFonts w:ascii="Arial" w:hAnsi="Arial" w:cs="Arial"/>
          <w:sz w:val="24"/>
          <w:szCs w:val="24"/>
        </w:rPr>
        <w:t>.</w:t>
      </w:r>
    </w:p>
    <w:sectPr w:rsidR="000C417D" w:rsidRPr="007A0EF1" w:rsidSect="00AA2F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A59"/>
    <w:multiLevelType w:val="hybridMultilevel"/>
    <w:tmpl w:val="44027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C318EE"/>
    <w:multiLevelType w:val="hybridMultilevel"/>
    <w:tmpl w:val="1D3E216E"/>
    <w:lvl w:ilvl="0" w:tplc="BC62B1E4">
      <w:start w:val="1"/>
      <w:numFmt w:val="decimal"/>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2A5E08E7"/>
    <w:multiLevelType w:val="hybridMultilevel"/>
    <w:tmpl w:val="5DB69A3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2422349"/>
    <w:multiLevelType w:val="hybridMultilevel"/>
    <w:tmpl w:val="80444C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075B99"/>
    <w:multiLevelType w:val="hybridMultilevel"/>
    <w:tmpl w:val="800EF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1A40A0"/>
    <w:multiLevelType w:val="hybridMultilevel"/>
    <w:tmpl w:val="01A0C4C2"/>
    <w:lvl w:ilvl="0" w:tplc="BC62B1E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CA2E73"/>
    <w:multiLevelType w:val="hybridMultilevel"/>
    <w:tmpl w:val="01766C04"/>
    <w:lvl w:ilvl="0" w:tplc="E9D2D75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4A4706"/>
    <w:multiLevelType w:val="hybridMultilevel"/>
    <w:tmpl w:val="D2A2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D0208"/>
    <w:multiLevelType w:val="hybridMultilevel"/>
    <w:tmpl w:val="1DD8434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6D"/>
    <w:rsid w:val="00016167"/>
    <w:rsid w:val="000B7CE9"/>
    <w:rsid w:val="000C417D"/>
    <w:rsid w:val="000D22E3"/>
    <w:rsid w:val="00121AF6"/>
    <w:rsid w:val="0016077B"/>
    <w:rsid w:val="001661FF"/>
    <w:rsid w:val="001B125A"/>
    <w:rsid w:val="001B33B7"/>
    <w:rsid w:val="001B516C"/>
    <w:rsid w:val="001E3C50"/>
    <w:rsid w:val="00220B64"/>
    <w:rsid w:val="002405A3"/>
    <w:rsid w:val="00251276"/>
    <w:rsid w:val="00252E07"/>
    <w:rsid w:val="002609EF"/>
    <w:rsid w:val="00295420"/>
    <w:rsid w:val="002E10FF"/>
    <w:rsid w:val="00304EB3"/>
    <w:rsid w:val="003373DE"/>
    <w:rsid w:val="0033795C"/>
    <w:rsid w:val="0035244B"/>
    <w:rsid w:val="00370C26"/>
    <w:rsid w:val="00391F33"/>
    <w:rsid w:val="003A7313"/>
    <w:rsid w:val="0040066D"/>
    <w:rsid w:val="004E158A"/>
    <w:rsid w:val="00520678"/>
    <w:rsid w:val="005361E0"/>
    <w:rsid w:val="0062230C"/>
    <w:rsid w:val="00622B6D"/>
    <w:rsid w:val="00625934"/>
    <w:rsid w:val="006677BF"/>
    <w:rsid w:val="006735B9"/>
    <w:rsid w:val="006860A1"/>
    <w:rsid w:val="00690CFC"/>
    <w:rsid w:val="00700391"/>
    <w:rsid w:val="00726E79"/>
    <w:rsid w:val="007577D1"/>
    <w:rsid w:val="00766854"/>
    <w:rsid w:val="007711BB"/>
    <w:rsid w:val="007A0EF1"/>
    <w:rsid w:val="007C38A9"/>
    <w:rsid w:val="007D55D7"/>
    <w:rsid w:val="008308F0"/>
    <w:rsid w:val="00851B3F"/>
    <w:rsid w:val="00876139"/>
    <w:rsid w:val="0088302F"/>
    <w:rsid w:val="008874C4"/>
    <w:rsid w:val="00903934"/>
    <w:rsid w:val="00916092"/>
    <w:rsid w:val="00950127"/>
    <w:rsid w:val="00964D39"/>
    <w:rsid w:val="009864B3"/>
    <w:rsid w:val="00A2078D"/>
    <w:rsid w:val="00A2093B"/>
    <w:rsid w:val="00A50533"/>
    <w:rsid w:val="00AA2FD0"/>
    <w:rsid w:val="00AA73EB"/>
    <w:rsid w:val="00AC2A7C"/>
    <w:rsid w:val="00AE55BB"/>
    <w:rsid w:val="00B07C17"/>
    <w:rsid w:val="00B27FE9"/>
    <w:rsid w:val="00B542E1"/>
    <w:rsid w:val="00C44771"/>
    <w:rsid w:val="00C60731"/>
    <w:rsid w:val="00C84163"/>
    <w:rsid w:val="00CA1DFE"/>
    <w:rsid w:val="00CB1297"/>
    <w:rsid w:val="00D125C8"/>
    <w:rsid w:val="00D43C45"/>
    <w:rsid w:val="00D73E9F"/>
    <w:rsid w:val="00D77565"/>
    <w:rsid w:val="00D82E5B"/>
    <w:rsid w:val="00D956F1"/>
    <w:rsid w:val="00DB2E28"/>
    <w:rsid w:val="00DB4945"/>
    <w:rsid w:val="00E17CFD"/>
    <w:rsid w:val="00E807F5"/>
    <w:rsid w:val="00E85ADF"/>
    <w:rsid w:val="00E97092"/>
    <w:rsid w:val="00ED0CD3"/>
    <w:rsid w:val="00EE401E"/>
    <w:rsid w:val="00F719F6"/>
    <w:rsid w:val="00F90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C3F38-1BDB-4D27-8588-0EC0167A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6D"/>
    <w:pPr>
      <w:ind w:left="720"/>
      <w:contextualSpacing/>
    </w:pPr>
  </w:style>
  <w:style w:type="paragraph" w:styleId="BalloonText">
    <w:name w:val="Balloon Text"/>
    <w:basedOn w:val="Normal"/>
    <w:link w:val="BalloonTextChar"/>
    <w:uiPriority w:val="99"/>
    <w:semiHidden/>
    <w:unhideWhenUsed/>
    <w:rsid w:val="00391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F33"/>
    <w:rPr>
      <w:rFonts w:ascii="Tahoma" w:hAnsi="Tahoma" w:cs="Tahoma"/>
      <w:sz w:val="16"/>
      <w:szCs w:val="16"/>
    </w:rPr>
  </w:style>
  <w:style w:type="table" w:styleId="TableGrid">
    <w:name w:val="Table Grid"/>
    <w:basedOn w:val="TableNormal"/>
    <w:uiPriority w:val="59"/>
    <w:rsid w:val="00AA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McPhail;Jean.Cass@staffordshire.pcc.pnn.gov.uk</dc:creator>
  <cp:lastModifiedBy>Victoria Farrar</cp:lastModifiedBy>
  <cp:revision>2</cp:revision>
  <cp:lastPrinted>2018-11-07T13:27:00Z</cp:lastPrinted>
  <dcterms:created xsi:type="dcterms:W3CDTF">2018-11-07T15:11:00Z</dcterms:created>
  <dcterms:modified xsi:type="dcterms:W3CDTF">2018-11-07T15:11:00Z</dcterms:modified>
</cp:coreProperties>
</file>