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E9F" w:rsidRDefault="00B22E9F"/>
    <w:tbl>
      <w:tblPr>
        <w:tblStyle w:val="TableGrid"/>
        <w:tblW w:w="0" w:type="auto"/>
        <w:tblLook w:val="04A0" w:firstRow="1" w:lastRow="0" w:firstColumn="1" w:lastColumn="0" w:noHBand="0" w:noVBand="1"/>
      </w:tblPr>
      <w:tblGrid>
        <w:gridCol w:w="9016"/>
      </w:tblGrid>
      <w:tr w:rsidR="00B22E9F" w:rsidTr="00EA075C">
        <w:tc>
          <w:tcPr>
            <w:tcW w:w="9016" w:type="dxa"/>
            <w:shd w:val="clear" w:color="auto" w:fill="04A777"/>
          </w:tcPr>
          <w:p w:rsidR="00B22E9F" w:rsidRPr="00B22E9F" w:rsidRDefault="00B22E9F">
            <w:pPr>
              <w:rPr>
                <w:color w:val="FFFFFF" w:themeColor="background1"/>
              </w:rPr>
            </w:pPr>
          </w:p>
          <w:p w:rsidR="00B22E9F" w:rsidRPr="00EA075C" w:rsidRDefault="002346C4" w:rsidP="00EA075C">
            <w:pPr>
              <w:jc w:val="center"/>
              <w:rPr>
                <w:b/>
                <w:color w:val="FFFFFF" w:themeColor="background1"/>
                <w:sz w:val="32"/>
                <w:szCs w:val="32"/>
              </w:rPr>
            </w:pPr>
            <w:r>
              <w:rPr>
                <w:b/>
                <w:color w:val="FFFFFF" w:themeColor="background1"/>
                <w:sz w:val="32"/>
                <w:szCs w:val="32"/>
              </w:rPr>
              <w:t>Right to Erasure Policy &amp; Procedure</w:t>
            </w:r>
          </w:p>
          <w:p w:rsidR="00B22E9F" w:rsidRDefault="00B22E9F"/>
        </w:tc>
      </w:tr>
    </w:tbl>
    <w:p w:rsidR="005C6872" w:rsidRPr="005C6872" w:rsidRDefault="005C6872">
      <w:pPr>
        <w:rPr>
          <w:rFonts w:cstheme="minorHAnsi"/>
          <w:b/>
          <w:sz w:val="24"/>
          <w:szCs w:val="24"/>
        </w:rPr>
      </w:pPr>
    </w:p>
    <w:tbl>
      <w:tblPr>
        <w:tblStyle w:val="TableGrid"/>
        <w:tblW w:w="0" w:type="auto"/>
        <w:tblLook w:val="04A0" w:firstRow="1" w:lastRow="0" w:firstColumn="1" w:lastColumn="0" w:noHBand="0" w:noVBand="1"/>
      </w:tblPr>
      <w:tblGrid>
        <w:gridCol w:w="988"/>
        <w:gridCol w:w="430"/>
        <w:gridCol w:w="845"/>
        <w:gridCol w:w="1276"/>
        <w:gridCol w:w="1046"/>
        <w:gridCol w:w="513"/>
        <w:gridCol w:w="726"/>
        <w:gridCol w:w="3192"/>
      </w:tblGrid>
      <w:tr w:rsidR="00EA075C" w:rsidRPr="005C6872" w:rsidTr="00EA075C">
        <w:trPr>
          <w:trHeight w:val="505"/>
        </w:trPr>
        <w:tc>
          <w:tcPr>
            <w:tcW w:w="9016" w:type="dxa"/>
            <w:gridSpan w:val="8"/>
            <w:shd w:val="clear" w:color="auto" w:fill="04A777"/>
          </w:tcPr>
          <w:p w:rsidR="00EA075C" w:rsidRDefault="00EA075C">
            <w:pPr>
              <w:rPr>
                <w:sz w:val="24"/>
                <w:szCs w:val="24"/>
              </w:rPr>
            </w:pPr>
            <w:r w:rsidRPr="00EA075C">
              <w:rPr>
                <w:rFonts w:cstheme="minorHAnsi"/>
                <w:b/>
                <w:color w:val="FFFFFF" w:themeColor="background1"/>
                <w:sz w:val="24"/>
                <w:szCs w:val="24"/>
              </w:rPr>
              <w:t>Document Control</w:t>
            </w:r>
          </w:p>
        </w:tc>
      </w:tr>
      <w:tr w:rsidR="005C6872" w:rsidRPr="005C6872" w:rsidTr="005C6872">
        <w:tc>
          <w:tcPr>
            <w:tcW w:w="1418" w:type="dxa"/>
            <w:gridSpan w:val="2"/>
          </w:tcPr>
          <w:p w:rsidR="005C6872" w:rsidRPr="005C6872" w:rsidRDefault="005C6872">
            <w:pPr>
              <w:rPr>
                <w:b/>
                <w:sz w:val="24"/>
                <w:szCs w:val="24"/>
              </w:rPr>
            </w:pPr>
            <w:r w:rsidRPr="005C6872">
              <w:rPr>
                <w:b/>
                <w:sz w:val="24"/>
                <w:szCs w:val="24"/>
              </w:rPr>
              <w:t>Responsible Dept</w:t>
            </w:r>
          </w:p>
        </w:tc>
        <w:tc>
          <w:tcPr>
            <w:tcW w:w="3167" w:type="dxa"/>
            <w:gridSpan w:val="3"/>
          </w:tcPr>
          <w:p w:rsidR="005C6872" w:rsidRPr="005C6872" w:rsidRDefault="005C6872">
            <w:pPr>
              <w:rPr>
                <w:sz w:val="24"/>
                <w:szCs w:val="24"/>
              </w:rPr>
            </w:pPr>
            <w:r>
              <w:rPr>
                <w:sz w:val="24"/>
                <w:szCs w:val="24"/>
              </w:rPr>
              <w:t>Performance &amp; Engagement</w:t>
            </w:r>
          </w:p>
        </w:tc>
        <w:tc>
          <w:tcPr>
            <w:tcW w:w="1239" w:type="dxa"/>
            <w:gridSpan w:val="2"/>
          </w:tcPr>
          <w:p w:rsidR="005C6872" w:rsidRPr="005C6872" w:rsidRDefault="005C6872">
            <w:pPr>
              <w:rPr>
                <w:b/>
                <w:sz w:val="24"/>
                <w:szCs w:val="24"/>
              </w:rPr>
            </w:pPr>
            <w:r w:rsidRPr="005C6872">
              <w:rPr>
                <w:b/>
                <w:sz w:val="24"/>
                <w:szCs w:val="24"/>
              </w:rPr>
              <w:t>Author</w:t>
            </w:r>
            <w:r>
              <w:rPr>
                <w:b/>
                <w:sz w:val="24"/>
                <w:szCs w:val="24"/>
              </w:rPr>
              <w:t xml:space="preserve"> / Reviewer</w:t>
            </w:r>
          </w:p>
        </w:tc>
        <w:tc>
          <w:tcPr>
            <w:tcW w:w="3192" w:type="dxa"/>
          </w:tcPr>
          <w:p w:rsidR="005C6872" w:rsidRPr="005C6872" w:rsidRDefault="002346C4">
            <w:pPr>
              <w:rPr>
                <w:sz w:val="24"/>
                <w:szCs w:val="24"/>
              </w:rPr>
            </w:pPr>
            <w:r>
              <w:rPr>
                <w:sz w:val="24"/>
                <w:szCs w:val="24"/>
              </w:rPr>
              <w:t>Independent Review Manager</w:t>
            </w:r>
          </w:p>
        </w:tc>
      </w:tr>
      <w:tr w:rsidR="005C6872" w:rsidRPr="005C6872" w:rsidTr="00EA075C">
        <w:trPr>
          <w:trHeight w:val="491"/>
        </w:trPr>
        <w:tc>
          <w:tcPr>
            <w:tcW w:w="9016" w:type="dxa"/>
            <w:gridSpan w:val="8"/>
            <w:shd w:val="clear" w:color="auto" w:fill="04A777"/>
          </w:tcPr>
          <w:p w:rsidR="005C6872" w:rsidRPr="00EA075C" w:rsidRDefault="005C6872">
            <w:pPr>
              <w:rPr>
                <w:b/>
                <w:sz w:val="24"/>
                <w:szCs w:val="24"/>
              </w:rPr>
            </w:pPr>
            <w:r w:rsidRPr="00EA075C">
              <w:rPr>
                <w:b/>
                <w:color w:val="FFFFFF" w:themeColor="background1"/>
                <w:sz w:val="24"/>
                <w:szCs w:val="24"/>
              </w:rPr>
              <w:t xml:space="preserve">Version </w:t>
            </w:r>
            <w:r w:rsidR="001D758E" w:rsidRPr="00EA075C">
              <w:rPr>
                <w:b/>
                <w:color w:val="FFFFFF" w:themeColor="background1"/>
                <w:sz w:val="24"/>
                <w:szCs w:val="24"/>
              </w:rPr>
              <w:t>Tracking</w:t>
            </w:r>
            <w:r w:rsidR="00EA075C" w:rsidRPr="00EA075C">
              <w:rPr>
                <w:b/>
                <w:color w:val="FFFFFF" w:themeColor="background1"/>
                <w:sz w:val="24"/>
                <w:szCs w:val="24"/>
              </w:rPr>
              <w:t xml:space="preserve"> </w:t>
            </w:r>
            <w:r w:rsidR="001D758E" w:rsidRPr="00EA075C">
              <w:rPr>
                <w:color w:val="FFFFFF" w:themeColor="background1"/>
                <w:sz w:val="16"/>
                <w:szCs w:val="16"/>
              </w:rPr>
              <w:t>Note: A maximum of the last 3 versions are to be tracked below.</w:t>
            </w:r>
          </w:p>
        </w:tc>
      </w:tr>
      <w:tr w:rsidR="005C6872" w:rsidRPr="005C6872" w:rsidTr="005C6872">
        <w:tc>
          <w:tcPr>
            <w:tcW w:w="988" w:type="dxa"/>
          </w:tcPr>
          <w:p w:rsidR="005C6872" w:rsidRPr="005C6872" w:rsidRDefault="005C6872">
            <w:pPr>
              <w:rPr>
                <w:b/>
                <w:sz w:val="24"/>
                <w:szCs w:val="24"/>
              </w:rPr>
            </w:pPr>
            <w:r>
              <w:rPr>
                <w:b/>
                <w:sz w:val="24"/>
                <w:szCs w:val="24"/>
              </w:rPr>
              <w:t>Version No</w:t>
            </w:r>
          </w:p>
        </w:tc>
        <w:tc>
          <w:tcPr>
            <w:tcW w:w="1275" w:type="dxa"/>
            <w:gridSpan w:val="2"/>
          </w:tcPr>
          <w:p w:rsidR="005C6872" w:rsidRPr="005C6872" w:rsidRDefault="005C6872">
            <w:pPr>
              <w:rPr>
                <w:b/>
                <w:sz w:val="24"/>
                <w:szCs w:val="24"/>
              </w:rPr>
            </w:pPr>
            <w:r>
              <w:rPr>
                <w:b/>
                <w:sz w:val="24"/>
                <w:szCs w:val="24"/>
              </w:rPr>
              <w:t>Approval Date</w:t>
            </w:r>
          </w:p>
        </w:tc>
        <w:tc>
          <w:tcPr>
            <w:tcW w:w="1276" w:type="dxa"/>
          </w:tcPr>
          <w:p w:rsidR="005C6872" w:rsidRPr="005C6872" w:rsidRDefault="005C6872">
            <w:pPr>
              <w:rPr>
                <w:b/>
                <w:sz w:val="24"/>
                <w:szCs w:val="24"/>
              </w:rPr>
            </w:pPr>
            <w:r>
              <w:rPr>
                <w:b/>
                <w:sz w:val="24"/>
                <w:szCs w:val="24"/>
              </w:rPr>
              <w:t>Review Due Date</w:t>
            </w:r>
          </w:p>
        </w:tc>
        <w:tc>
          <w:tcPr>
            <w:tcW w:w="1559" w:type="dxa"/>
            <w:gridSpan w:val="2"/>
          </w:tcPr>
          <w:p w:rsidR="005C6872" w:rsidRPr="005C6872" w:rsidRDefault="005C6872">
            <w:pPr>
              <w:rPr>
                <w:b/>
                <w:sz w:val="24"/>
                <w:szCs w:val="24"/>
              </w:rPr>
            </w:pPr>
            <w:r>
              <w:rPr>
                <w:b/>
                <w:sz w:val="24"/>
                <w:szCs w:val="24"/>
              </w:rPr>
              <w:t>Approval Forum</w:t>
            </w:r>
          </w:p>
        </w:tc>
        <w:tc>
          <w:tcPr>
            <w:tcW w:w="3918" w:type="dxa"/>
            <w:gridSpan w:val="2"/>
          </w:tcPr>
          <w:p w:rsidR="005C6872" w:rsidRPr="005C6872" w:rsidRDefault="005C6872">
            <w:pPr>
              <w:rPr>
                <w:b/>
                <w:sz w:val="24"/>
                <w:szCs w:val="24"/>
              </w:rPr>
            </w:pPr>
            <w:r>
              <w:rPr>
                <w:b/>
                <w:sz w:val="24"/>
                <w:szCs w:val="24"/>
              </w:rPr>
              <w:t>Change(s) Summary</w:t>
            </w:r>
          </w:p>
        </w:tc>
      </w:tr>
      <w:tr w:rsidR="005C6872" w:rsidRPr="005C6872" w:rsidTr="005C6872">
        <w:tc>
          <w:tcPr>
            <w:tcW w:w="988" w:type="dxa"/>
          </w:tcPr>
          <w:p w:rsidR="005C6872" w:rsidRPr="002346C4" w:rsidRDefault="002346C4">
            <w:pPr>
              <w:rPr>
                <w:sz w:val="24"/>
                <w:szCs w:val="24"/>
              </w:rPr>
            </w:pPr>
            <w:r w:rsidRPr="002346C4">
              <w:rPr>
                <w:sz w:val="24"/>
                <w:szCs w:val="24"/>
              </w:rPr>
              <w:t>1.2</w:t>
            </w:r>
          </w:p>
        </w:tc>
        <w:tc>
          <w:tcPr>
            <w:tcW w:w="1275" w:type="dxa"/>
            <w:gridSpan w:val="2"/>
          </w:tcPr>
          <w:p w:rsidR="005C6872" w:rsidRPr="002346C4" w:rsidRDefault="002346C4">
            <w:pPr>
              <w:rPr>
                <w:sz w:val="24"/>
                <w:szCs w:val="24"/>
              </w:rPr>
            </w:pPr>
            <w:r>
              <w:rPr>
                <w:sz w:val="24"/>
                <w:szCs w:val="24"/>
              </w:rPr>
              <w:t>Jan-24</w:t>
            </w:r>
          </w:p>
        </w:tc>
        <w:tc>
          <w:tcPr>
            <w:tcW w:w="1276" w:type="dxa"/>
          </w:tcPr>
          <w:p w:rsidR="005C6872" w:rsidRPr="002346C4" w:rsidRDefault="002346C4">
            <w:pPr>
              <w:rPr>
                <w:sz w:val="24"/>
                <w:szCs w:val="24"/>
              </w:rPr>
            </w:pPr>
            <w:r>
              <w:rPr>
                <w:sz w:val="24"/>
                <w:szCs w:val="24"/>
              </w:rPr>
              <w:t>Jan-26</w:t>
            </w:r>
          </w:p>
        </w:tc>
        <w:tc>
          <w:tcPr>
            <w:tcW w:w="1559" w:type="dxa"/>
            <w:gridSpan w:val="2"/>
          </w:tcPr>
          <w:p w:rsidR="005C6872" w:rsidRPr="002346C4" w:rsidRDefault="002346C4">
            <w:pPr>
              <w:rPr>
                <w:sz w:val="24"/>
                <w:szCs w:val="24"/>
              </w:rPr>
            </w:pPr>
            <w:r>
              <w:rPr>
                <w:sz w:val="24"/>
                <w:szCs w:val="24"/>
              </w:rPr>
              <w:t>SLT Monthly</w:t>
            </w:r>
          </w:p>
        </w:tc>
        <w:tc>
          <w:tcPr>
            <w:tcW w:w="3918" w:type="dxa"/>
            <w:gridSpan w:val="2"/>
          </w:tcPr>
          <w:p w:rsidR="005C6872" w:rsidRPr="002346C4" w:rsidRDefault="002346C4">
            <w:pPr>
              <w:rPr>
                <w:sz w:val="24"/>
                <w:szCs w:val="24"/>
              </w:rPr>
            </w:pPr>
            <w:r>
              <w:rPr>
                <w:sz w:val="24"/>
                <w:szCs w:val="24"/>
              </w:rPr>
              <w:t>Full Refresh.</w:t>
            </w:r>
          </w:p>
        </w:tc>
      </w:tr>
      <w:tr w:rsidR="005C6872" w:rsidRPr="005C6872" w:rsidTr="005C6872">
        <w:tc>
          <w:tcPr>
            <w:tcW w:w="988" w:type="dxa"/>
          </w:tcPr>
          <w:p w:rsidR="005C6872" w:rsidRPr="002346C4" w:rsidRDefault="005C6872">
            <w:pPr>
              <w:rPr>
                <w:sz w:val="24"/>
                <w:szCs w:val="24"/>
              </w:rPr>
            </w:pPr>
          </w:p>
        </w:tc>
        <w:tc>
          <w:tcPr>
            <w:tcW w:w="1275" w:type="dxa"/>
            <w:gridSpan w:val="2"/>
          </w:tcPr>
          <w:p w:rsidR="005C6872" w:rsidRPr="002346C4" w:rsidRDefault="005C6872">
            <w:pPr>
              <w:rPr>
                <w:sz w:val="24"/>
                <w:szCs w:val="24"/>
              </w:rPr>
            </w:pPr>
          </w:p>
        </w:tc>
        <w:tc>
          <w:tcPr>
            <w:tcW w:w="1276" w:type="dxa"/>
          </w:tcPr>
          <w:p w:rsidR="005C6872" w:rsidRPr="002346C4" w:rsidRDefault="005C6872">
            <w:pPr>
              <w:rPr>
                <w:sz w:val="24"/>
                <w:szCs w:val="24"/>
              </w:rPr>
            </w:pPr>
          </w:p>
        </w:tc>
        <w:tc>
          <w:tcPr>
            <w:tcW w:w="1559" w:type="dxa"/>
            <w:gridSpan w:val="2"/>
          </w:tcPr>
          <w:p w:rsidR="005C6872" w:rsidRPr="002346C4" w:rsidRDefault="005C6872">
            <w:pPr>
              <w:rPr>
                <w:sz w:val="24"/>
                <w:szCs w:val="24"/>
              </w:rPr>
            </w:pPr>
          </w:p>
        </w:tc>
        <w:tc>
          <w:tcPr>
            <w:tcW w:w="3918" w:type="dxa"/>
            <w:gridSpan w:val="2"/>
          </w:tcPr>
          <w:p w:rsidR="005C6872" w:rsidRPr="002346C4" w:rsidRDefault="005C6872">
            <w:pPr>
              <w:rPr>
                <w:sz w:val="24"/>
                <w:szCs w:val="24"/>
              </w:rPr>
            </w:pPr>
          </w:p>
        </w:tc>
      </w:tr>
      <w:tr w:rsidR="005C6872" w:rsidRPr="005C6872" w:rsidTr="005C6872">
        <w:tc>
          <w:tcPr>
            <w:tcW w:w="988" w:type="dxa"/>
          </w:tcPr>
          <w:p w:rsidR="005C6872" w:rsidRPr="002346C4" w:rsidRDefault="005C6872">
            <w:pPr>
              <w:rPr>
                <w:sz w:val="24"/>
                <w:szCs w:val="24"/>
              </w:rPr>
            </w:pPr>
          </w:p>
        </w:tc>
        <w:tc>
          <w:tcPr>
            <w:tcW w:w="1275" w:type="dxa"/>
            <w:gridSpan w:val="2"/>
          </w:tcPr>
          <w:p w:rsidR="005C6872" w:rsidRPr="002346C4" w:rsidRDefault="005C6872">
            <w:pPr>
              <w:rPr>
                <w:sz w:val="24"/>
                <w:szCs w:val="24"/>
              </w:rPr>
            </w:pPr>
          </w:p>
        </w:tc>
        <w:tc>
          <w:tcPr>
            <w:tcW w:w="1276" w:type="dxa"/>
          </w:tcPr>
          <w:p w:rsidR="005C6872" w:rsidRPr="002346C4" w:rsidRDefault="005C6872">
            <w:pPr>
              <w:rPr>
                <w:sz w:val="24"/>
                <w:szCs w:val="24"/>
              </w:rPr>
            </w:pPr>
          </w:p>
        </w:tc>
        <w:tc>
          <w:tcPr>
            <w:tcW w:w="1559" w:type="dxa"/>
            <w:gridSpan w:val="2"/>
          </w:tcPr>
          <w:p w:rsidR="005C6872" w:rsidRPr="002346C4" w:rsidRDefault="005C6872">
            <w:pPr>
              <w:rPr>
                <w:sz w:val="24"/>
                <w:szCs w:val="24"/>
              </w:rPr>
            </w:pPr>
          </w:p>
        </w:tc>
        <w:tc>
          <w:tcPr>
            <w:tcW w:w="3918" w:type="dxa"/>
            <w:gridSpan w:val="2"/>
          </w:tcPr>
          <w:p w:rsidR="005C6872" w:rsidRPr="002346C4" w:rsidRDefault="005C6872">
            <w:pPr>
              <w:rPr>
                <w:sz w:val="24"/>
                <w:szCs w:val="24"/>
              </w:rPr>
            </w:pPr>
          </w:p>
        </w:tc>
      </w:tr>
    </w:tbl>
    <w:p w:rsidR="005202A0" w:rsidRPr="00B9536E" w:rsidRDefault="005202A0" w:rsidP="002346C4">
      <w:pPr>
        <w:spacing w:after="0"/>
        <w:rPr>
          <w:rFonts w:cstheme="minorHAnsi"/>
          <w:b/>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2"/>
              </w:numPr>
              <w:spacing w:after="0"/>
              <w:rPr>
                <w:rFonts w:asciiTheme="minorHAnsi" w:hAnsiTheme="minorHAnsi" w:cstheme="minorHAnsi"/>
                <w:b/>
                <w:color w:val="FFFFFF"/>
                <w:sz w:val="24"/>
                <w:szCs w:val="24"/>
              </w:rPr>
            </w:pPr>
            <w:bookmarkStart w:id="0" w:name="_Hlk510377801"/>
            <w:r w:rsidRPr="00B9536E">
              <w:rPr>
                <w:rFonts w:asciiTheme="minorHAnsi" w:hAnsiTheme="minorHAnsi" w:cstheme="minorHAnsi"/>
                <w:b/>
                <w:color w:val="FFFFFF"/>
                <w:sz w:val="24"/>
                <w:szCs w:val="24"/>
              </w:rPr>
              <w:t>Introduction</w:t>
            </w:r>
          </w:p>
        </w:tc>
      </w:tr>
    </w:tbl>
    <w:bookmarkEnd w:id="0"/>
    <w:p w:rsidR="002346C4" w:rsidRPr="002346C4" w:rsidRDefault="002346C4" w:rsidP="002346C4">
      <w:pPr>
        <w:pStyle w:val="ListParagraph"/>
        <w:numPr>
          <w:ilvl w:val="1"/>
          <w:numId w:val="1"/>
        </w:numPr>
        <w:jc w:val="both"/>
        <w:rPr>
          <w:rFonts w:cstheme="minorHAnsi"/>
          <w:color w:val="000000"/>
          <w:sz w:val="24"/>
          <w:szCs w:val="24"/>
        </w:rPr>
      </w:pPr>
      <w:r w:rsidRPr="002346C4">
        <w:rPr>
          <w:rFonts w:cstheme="minorHAnsi"/>
          <w:color w:val="000000"/>
          <w:sz w:val="24"/>
          <w:szCs w:val="24"/>
        </w:rPr>
        <w:t>Under UK G</w:t>
      </w:r>
      <w:r w:rsidR="00094A56">
        <w:rPr>
          <w:rFonts w:cstheme="minorHAnsi"/>
          <w:color w:val="000000"/>
          <w:sz w:val="24"/>
          <w:szCs w:val="24"/>
        </w:rPr>
        <w:t xml:space="preserve">eneral </w:t>
      </w:r>
      <w:r w:rsidRPr="002346C4">
        <w:rPr>
          <w:rFonts w:cstheme="minorHAnsi"/>
          <w:color w:val="000000"/>
          <w:sz w:val="24"/>
          <w:szCs w:val="24"/>
        </w:rPr>
        <w:t>D</w:t>
      </w:r>
      <w:r w:rsidR="00094A56">
        <w:rPr>
          <w:rFonts w:cstheme="minorHAnsi"/>
          <w:color w:val="000000"/>
          <w:sz w:val="24"/>
          <w:szCs w:val="24"/>
        </w:rPr>
        <w:t xml:space="preserve">ata </w:t>
      </w:r>
      <w:r w:rsidRPr="002346C4">
        <w:rPr>
          <w:rFonts w:cstheme="minorHAnsi"/>
          <w:color w:val="000000"/>
          <w:sz w:val="24"/>
          <w:szCs w:val="24"/>
        </w:rPr>
        <w:t>P</w:t>
      </w:r>
      <w:r w:rsidR="00094A56">
        <w:rPr>
          <w:rFonts w:cstheme="minorHAnsi"/>
          <w:color w:val="000000"/>
          <w:sz w:val="24"/>
          <w:szCs w:val="24"/>
        </w:rPr>
        <w:t xml:space="preserve">rotection </w:t>
      </w:r>
      <w:r w:rsidRPr="002346C4">
        <w:rPr>
          <w:rFonts w:cstheme="minorHAnsi"/>
          <w:color w:val="000000"/>
          <w:sz w:val="24"/>
          <w:szCs w:val="24"/>
        </w:rPr>
        <w:t>R</w:t>
      </w:r>
      <w:r w:rsidR="00094A56">
        <w:rPr>
          <w:rFonts w:cstheme="minorHAnsi"/>
          <w:color w:val="000000"/>
          <w:sz w:val="24"/>
          <w:szCs w:val="24"/>
        </w:rPr>
        <w:t>egulations (UK GDPR)</w:t>
      </w:r>
      <w:r w:rsidRPr="002346C4">
        <w:rPr>
          <w:rFonts w:cstheme="minorHAnsi"/>
          <w:color w:val="000000"/>
          <w:sz w:val="24"/>
          <w:szCs w:val="24"/>
        </w:rPr>
        <w:t xml:space="preserve"> and </w:t>
      </w:r>
      <w:r w:rsidR="005202A0">
        <w:rPr>
          <w:rFonts w:cstheme="minorHAnsi"/>
          <w:color w:val="000000"/>
          <w:sz w:val="24"/>
          <w:szCs w:val="24"/>
        </w:rPr>
        <w:t xml:space="preserve">the </w:t>
      </w:r>
      <w:r w:rsidRPr="002346C4">
        <w:rPr>
          <w:rFonts w:cstheme="minorHAnsi"/>
          <w:color w:val="000000"/>
          <w:sz w:val="24"/>
          <w:szCs w:val="24"/>
        </w:rPr>
        <w:t>D</w:t>
      </w:r>
      <w:r w:rsidR="005202A0">
        <w:rPr>
          <w:rFonts w:cstheme="minorHAnsi"/>
          <w:color w:val="000000"/>
          <w:sz w:val="24"/>
          <w:szCs w:val="24"/>
        </w:rPr>
        <w:t xml:space="preserve">ata </w:t>
      </w:r>
      <w:r w:rsidRPr="002346C4">
        <w:rPr>
          <w:rFonts w:cstheme="minorHAnsi"/>
          <w:color w:val="000000"/>
          <w:sz w:val="24"/>
          <w:szCs w:val="24"/>
        </w:rPr>
        <w:t>P</w:t>
      </w:r>
      <w:r w:rsidR="005202A0">
        <w:rPr>
          <w:rFonts w:cstheme="minorHAnsi"/>
          <w:color w:val="000000"/>
          <w:sz w:val="24"/>
          <w:szCs w:val="24"/>
        </w:rPr>
        <w:t xml:space="preserve">rotection </w:t>
      </w:r>
      <w:r w:rsidRPr="002346C4">
        <w:rPr>
          <w:rFonts w:cstheme="minorHAnsi"/>
          <w:color w:val="000000"/>
          <w:sz w:val="24"/>
          <w:szCs w:val="24"/>
        </w:rPr>
        <w:t>A</w:t>
      </w:r>
      <w:r w:rsidR="005202A0">
        <w:rPr>
          <w:rFonts w:cstheme="minorHAnsi"/>
          <w:color w:val="000000"/>
          <w:sz w:val="24"/>
          <w:szCs w:val="24"/>
        </w:rPr>
        <w:t>ct</w:t>
      </w:r>
      <w:r w:rsidRPr="002346C4">
        <w:rPr>
          <w:rFonts w:cstheme="minorHAnsi"/>
          <w:color w:val="000000"/>
          <w:sz w:val="24"/>
          <w:szCs w:val="24"/>
        </w:rPr>
        <w:t xml:space="preserve"> Part 2</w:t>
      </w:r>
      <w:r w:rsidR="005202A0">
        <w:rPr>
          <w:rFonts w:cstheme="minorHAnsi"/>
          <w:color w:val="000000"/>
          <w:sz w:val="24"/>
          <w:szCs w:val="24"/>
        </w:rPr>
        <w:t>,</w:t>
      </w:r>
      <w:r w:rsidRPr="002346C4">
        <w:rPr>
          <w:rFonts w:cstheme="minorHAnsi"/>
          <w:color w:val="000000"/>
          <w:sz w:val="24"/>
          <w:szCs w:val="24"/>
        </w:rPr>
        <w:t xml:space="preserve"> </w:t>
      </w:r>
      <w:r w:rsidR="007C7231">
        <w:rPr>
          <w:rFonts w:cstheme="minorHAnsi"/>
          <w:color w:val="000000"/>
          <w:sz w:val="24"/>
          <w:szCs w:val="24"/>
        </w:rPr>
        <w:t>applicant</w:t>
      </w:r>
      <w:r w:rsidRPr="002346C4">
        <w:rPr>
          <w:rFonts w:cstheme="minorHAnsi"/>
          <w:color w:val="000000"/>
          <w:sz w:val="24"/>
          <w:szCs w:val="24"/>
        </w:rPr>
        <w:t xml:space="preserve">s have the right to request the erasure of personal data that an organisation holds about them.  This right to erasure is also known as </w:t>
      </w:r>
      <w:r w:rsidR="005202A0">
        <w:rPr>
          <w:rFonts w:cstheme="minorHAnsi"/>
          <w:color w:val="000000"/>
          <w:sz w:val="24"/>
          <w:szCs w:val="24"/>
        </w:rPr>
        <w:t>“</w:t>
      </w:r>
      <w:r w:rsidRPr="002346C4">
        <w:rPr>
          <w:rFonts w:cstheme="minorHAnsi"/>
          <w:color w:val="000000"/>
          <w:sz w:val="24"/>
          <w:szCs w:val="24"/>
        </w:rPr>
        <w:t>the right to be forgotten</w:t>
      </w:r>
      <w:r w:rsidR="005202A0">
        <w:rPr>
          <w:rFonts w:cstheme="minorHAnsi"/>
          <w:color w:val="000000"/>
          <w:sz w:val="24"/>
          <w:szCs w:val="24"/>
        </w:rPr>
        <w:t>.”</w:t>
      </w:r>
      <w:r w:rsidRPr="002346C4">
        <w:rPr>
          <w:rFonts w:cstheme="minorHAnsi"/>
          <w:sz w:val="24"/>
          <w:szCs w:val="24"/>
        </w:rPr>
        <w:t xml:space="preserve"> </w:t>
      </w:r>
    </w:p>
    <w:p w:rsidR="002346C4" w:rsidRPr="00B9536E" w:rsidRDefault="002346C4" w:rsidP="002346C4">
      <w:pPr>
        <w:pStyle w:val="ListParagraph"/>
        <w:spacing w:after="0"/>
        <w:ind w:left="405"/>
        <w:jc w:val="both"/>
        <w:rPr>
          <w:rFonts w:asciiTheme="minorHAnsi" w:hAnsiTheme="minorHAnsi" w:cstheme="minorHAnsi"/>
          <w:sz w:val="24"/>
          <w:szCs w:val="24"/>
        </w:rPr>
      </w:pPr>
    </w:p>
    <w:p w:rsidR="002346C4" w:rsidRPr="00B9536E" w:rsidRDefault="007C7231" w:rsidP="002346C4">
      <w:pPr>
        <w:pStyle w:val="ListParagraph"/>
        <w:numPr>
          <w:ilvl w:val="1"/>
          <w:numId w:val="1"/>
        </w:numPr>
        <w:spacing w:after="0"/>
        <w:jc w:val="both"/>
        <w:rPr>
          <w:rFonts w:asciiTheme="minorHAnsi" w:hAnsiTheme="minorHAnsi" w:cstheme="minorHAnsi"/>
          <w:sz w:val="24"/>
          <w:szCs w:val="24"/>
        </w:rPr>
      </w:pPr>
      <w:r>
        <w:rPr>
          <w:rFonts w:asciiTheme="minorHAnsi" w:hAnsiTheme="minorHAnsi" w:cstheme="minorHAnsi"/>
          <w:sz w:val="24"/>
          <w:szCs w:val="24"/>
        </w:rPr>
        <w:t>Applicant</w:t>
      </w:r>
      <w:r w:rsidR="002346C4" w:rsidRPr="00B9536E">
        <w:rPr>
          <w:rFonts w:asciiTheme="minorHAnsi" w:hAnsiTheme="minorHAnsi" w:cstheme="minorHAnsi"/>
          <w:sz w:val="24"/>
          <w:szCs w:val="24"/>
        </w:rPr>
        <w:t>s can make a request for erasure verbally or in writing and the Staffordshire Commissioner’s Office has one month to respond to the request.</w:t>
      </w:r>
    </w:p>
    <w:p w:rsidR="002346C4" w:rsidRPr="00B9536E" w:rsidRDefault="002346C4" w:rsidP="002346C4">
      <w:pPr>
        <w:spacing w:after="0"/>
        <w:jc w:val="both"/>
        <w:rPr>
          <w:rFonts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 xml:space="preserve">The right is not an absolute and only applies in certain circumstances, however, the right is not the only way in which the UK GDPR places an obligation on the Staffordshire Commissioner’s Office to consider whether to delete personal data. </w:t>
      </w:r>
    </w:p>
    <w:p w:rsidR="002346C4" w:rsidRPr="00B9536E" w:rsidRDefault="002346C4" w:rsidP="002346C4">
      <w:pPr>
        <w:pStyle w:val="ListParagraph"/>
        <w:spacing w:before="120" w:after="120"/>
        <w:ind w:left="405"/>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Aims and Scope of this Policy &amp; Procedure</w:t>
            </w:r>
          </w:p>
        </w:tc>
      </w:tr>
    </w:tbl>
    <w:p w:rsidR="002346C4" w:rsidRPr="002346C4" w:rsidRDefault="002346C4" w:rsidP="002346C4">
      <w:pPr>
        <w:pStyle w:val="ListParagraph"/>
        <w:numPr>
          <w:ilvl w:val="1"/>
          <w:numId w:val="1"/>
        </w:numPr>
        <w:spacing w:after="120"/>
        <w:jc w:val="both"/>
        <w:rPr>
          <w:rFonts w:cstheme="minorHAnsi"/>
          <w:sz w:val="24"/>
          <w:szCs w:val="24"/>
        </w:rPr>
      </w:pPr>
      <w:r w:rsidRPr="002346C4">
        <w:rPr>
          <w:rFonts w:cstheme="minorHAnsi"/>
          <w:sz w:val="24"/>
          <w:szCs w:val="24"/>
        </w:rPr>
        <w:t xml:space="preserve">The purpose of this policy is to set out the procedure that should be followed to ensure that a consistent and effective approach is in place for managing the erasure or deletion of data </w:t>
      </w:r>
      <w:r w:rsidR="00A7469D">
        <w:rPr>
          <w:rFonts w:cstheme="minorHAnsi"/>
          <w:sz w:val="24"/>
          <w:szCs w:val="24"/>
        </w:rPr>
        <w:t>a</w:t>
      </w:r>
      <w:r w:rsidRPr="002346C4">
        <w:rPr>
          <w:rFonts w:cstheme="minorHAnsi"/>
          <w:sz w:val="24"/>
          <w:szCs w:val="24"/>
        </w:rPr>
        <w:t>cross the Staffordshire Commissioner’s Office. This policy applies to all of the Commissioner’s Office staff, contractors and third-party agents handling</w:t>
      </w:r>
      <w:r w:rsidR="00BB706C">
        <w:rPr>
          <w:rFonts w:cstheme="minorHAnsi"/>
          <w:sz w:val="24"/>
          <w:szCs w:val="24"/>
        </w:rPr>
        <w:t xml:space="preserve"> </w:t>
      </w:r>
      <w:r w:rsidR="00BB706C" w:rsidRPr="002346C4">
        <w:rPr>
          <w:rFonts w:cstheme="minorHAnsi"/>
          <w:sz w:val="24"/>
          <w:szCs w:val="24"/>
        </w:rPr>
        <w:t>Staffordshire Commissioner’s Office</w:t>
      </w:r>
      <w:r w:rsidRPr="002346C4">
        <w:rPr>
          <w:rFonts w:cstheme="minorHAnsi"/>
          <w:sz w:val="24"/>
          <w:szCs w:val="24"/>
        </w:rPr>
        <w:t xml:space="preserve"> information assets. This policy is based on the guidance provided by the Information Commissioner’s Office.</w:t>
      </w:r>
    </w:p>
    <w:p w:rsidR="002346C4" w:rsidRPr="00B9536E" w:rsidRDefault="002346C4" w:rsidP="002346C4">
      <w:pPr>
        <w:pStyle w:val="ListParagraph"/>
        <w:spacing w:after="0"/>
        <w:ind w:left="0"/>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 xml:space="preserve">Who can make the requests </w:t>
            </w:r>
          </w:p>
        </w:tc>
      </w:tr>
    </w:tbl>
    <w:p w:rsidR="002346C4" w:rsidRPr="004C2E16" w:rsidRDefault="002346C4" w:rsidP="004C2E16">
      <w:pPr>
        <w:pStyle w:val="ListParagraph"/>
        <w:numPr>
          <w:ilvl w:val="1"/>
          <w:numId w:val="1"/>
        </w:numPr>
        <w:spacing w:after="0"/>
        <w:jc w:val="both"/>
        <w:rPr>
          <w:rFonts w:cstheme="minorHAnsi"/>
          <w:sz w:val="24"/>
          <w:szCs w:val="24"/>
        </w:rPr>
      </w:pPr>
      <w:r w:rsidRPr="004C2E16">
        <w:rPr>
          <w:rFonts w:cstheme="minorHAnsi"/>
          <w:sz w:val="24"/>
          <w:szCs w:val="24"/>
        </w:rPr>
        <w:t xml:space="preserve">Any living </w:t>
      </w:r>
      <w:r w:rsidR="007C7231">
        <w:rPr>
          <w:rFonts w:cstheme="minorHAnsi"/>
          <w:sz w:val="24"/>
          <w:szCs w:val="24"/>
        </w:rPr>
        <w:t>applicant</w:t>
      </w:r>
      <w:r w:rsidRPr="004C2E16">
        <w:rPr>
          <w:rFonts w:cstheme="minorHAnsi"/>
          <w:sz w:val="24"/>
          <w:szCs w:val="24"/>
        </w:rPr>
        <w:t xml:space="preserve"> whose personal data or information is stored, processed, or recorded through the Staffordshire Commissioner’s Office.</w:t>
      </w:r>
    </w:p>
    <w:p w:rsidR="002346C4" w:rsidRPr="00B9536E" w:rsidRDefault="002346C4" w:rsidP="002346C4">
      <w:pPr>
        <w:pStyle w:val="ListParagraph"/>
        <w:spacing w:after="0"/>
        <w:ind w:left="405"/>
        <w:jc w:val="both"/>
        <w:rPr>
          <w:rFonts w:asciiTheme="minorHAnsi" w:hAnsiTheme="minorHAnsi" w:cstheme="minorHAnsi"/>
          <w:sz w:val="24"/>
          <w:szCs w:val="24"/>
        </w:rPr>
      </w:pPr>
    </w:p>
    <w:p w:rsidR="002346C4" w:rsidRDefault="002346C4" w:rsidP="004C2E16">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A representative acting in a lawful capacity of another, such as a power of attorney.</w:t>
      </w:r>
    </w:p>
    <w:p w:rsidR="004C2E16" w:rsidRPr="004C2E16" w:rsidRDefault="004C2E16" w:rsidP="004C2E16">
      <w:pPr>
        <w:spacing w:after="0"/>
        <w:jc w:val="both"/>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Responding to Requests</w:t>
            </w:r>
          </w:p>
        </w:tc>
      </w:tr>
    </w:tbl>
    <w:p w:rsidR="002346C4" w:rsidRPr="004C2E16" w:rsidRDefault="002346C4" w:rsidP="004C2E16">
      <w:pPr>
        <w:pStyle w:val="ListParagraph"/>
        <w:numPr>
          <w:ilvl w:val="1"/>
          <w:numId w:val="1"/>
        </w:numPr>
        <w:spacing w:after="0"/>
        <w:jc w:val="both"/>
        <w:rPr>
          <w:rFonts w:cstheme="minorHAnsi"/>
          <w:sz w:val="24"/>
          <w:szCs w:val="24"/>
        </w:rPr>
      </w:pPr>
      <w:r w:rsidRPr="004C2E16">
        <w:rPr>
          <w:rFonts w:cstheme="minorHAnsi"/>
          <w:sz w:val="24"/>
          <w:szCs w:val="24"/>
        </w:rPr>
        <w:t xml:space="preserve">The UK GDPR does not specify how to make a valid request.  Therefore, an </w:t>
      </w:r>
      <w:r w:rsidR="007C7231">
        <w:rPr>
          <w:rFonts w:cstheme="minorHAnsi"/>
          <w:sz w:val="24"/>
          <w:szCs w:val="24"/>
        </w:rPr>
        <w:t>applicant</w:t>
      </w:r>
      <w:r w:rsidRPr="004C2E16">
        <w:rPr>
          <w:rFonts w:cstheme="minorHAnsi"/>
          <w:sz w:val="24"/>
          <w:szCs w:val="24"/>
        </w:rPr>
        <w:t xml:space="preserve"> can make a request to erasure verbally or in writing. </w:t>
      </w:r>
    </w:p>
    <w:p w:rsidR="002346C4" w:rsidRPr="002346C4" w:rsidRDefault="002346C4" w:rsidP="002346C4">
      <w:pPr>
        <w:pStyle w:val="ListParagraph"/>
        <w:spacing w:after="0"/>
        <w:ind w:left="405"/>
        <w:jc w:val="both"/>
        <w:rPr>
          <w:rFonts w:asciiTheme="minorHAnsi" w:hAnsiTheme="minorHAnsi" w:cstheme="minorHAnsi"/>
          <w:sz w:val="24"/>
          <w:szCs w:val="24"/>
        </w:rPr>
      </w:pPr>
    </w:p>
    <w:p w:rsidR="002346C4" w:rsidRDefault="002346C4" w:rsidP="002346C4">
      <w:pPr>
        <w:pStyle w:val="ListParagraph"/>
        <w:numPr>
          <w:ilvl w:val="1"/>
          <w:numId w:val="1"/>
        </w:numPr>
        <w:jc w:val="both"/>
        <w:rPr>
          <w:rFonts w:asciiTheme="minorHAnsi" w:hAnsiTheme="minorHAnsi" w:cstheme="minorHAnsi"/>
          <w:sz w:val="24"/>
          <w:szCs w:val="24"/>
        </w:rPr>
      </w:pPr>
      <w:r w:rsidRPr="006B5B1A">
        <w:rPr>
          <w:rFonts w:asciiTheme="minorHAnsi" w:hAnsiTheme="minorHAnsi" w:cstheme="minorHAnsi"/>
          <w:sz w:val="24"/>
          <w:szCs w:val="24"/>
        </w:rPr>
        <w:t>The request can be sent to any part of the Staffordshire Commissioner’s Office, and staff will need to know how to process this. The request itself need not even include the phrase ‘right to erasure’, Article 1</w:t>
      </w:r>
      <w:r>
        <w:rPr>
          <w:rFonts w:asciiTheme="minorHAnsi" w:hAnsiTheme="minorHAnsi" w:cstheme="minorHAnsi"/>
          <w:sz w:val="24"/>
          <w:szCs w:val="24"/>
        </w:rPr>
        <w:t>7</w:t>
      </w:r>
      <w:r w:rsidRPr="006B5B1A">
        <w:rPr>
          <w:rFonts w:asciiTheme="minorHAnsi" w:hAnsiTheme="minorHAnsi" w:cstheme="minorHAnsi"/>
          <w:sz w:val="24"/>
          <w:szCs w:val="24"/>
        </w:rPr>
        <w:t xml:space="preserve">, as long the request to rectify or correct personal data is understood as the purpose. If there is any doubt clarification should be sought from the </w:t>
      </w:r>
      <w:r w:rsidR="007C7231">
        <w:rPr>
          <w:rFonts w:asciiTheme="minorHAnsi" w:hAnsiTheme="minorHAnsi" w:cstheme="minorHAnsi"/>
          <w:sz w:val="24"/>
          <w:szCs w:val="24"/>
        </w:rPr>
        <w:t>applicant</w:t>
      </w:r>
      <w:r w:rsidRPr="006B5B1A">
        <w:rPr>
          <w:rFonts w:asciiTheme="minorHAnsi" w:hAnsiTheme="minorHAnsi" w:cstheme="minorHAnsi"/>
          <w:sz w:val="24"/>
          <w:szCs w:val="24"/>
        </w:rPr>
        <w:t>.  Any requests received should be forwarded to the Independent Review Manager without delay.</w:t>
      </w:r>
    </w:p>
    <w:p w:rsidR="002346C4" w:rsidRPr="00781C9C" w:rsidRDefault="002346C4" w:rsidP="002346C4">
      <w:pPr>
        <w:pStyle w:val="ListParagraph"/>
        <w:rPr>
          <w:rFonts w:asciiTheme="minorHAnsi" w:hAnsiTheme="minorHAnsi" w:cstheme="minorHAnsi"/>
          <w:sz w:val="24"/>
          <w:szCs w:val="24"/>
        </w:rPr>
      </w:pPr>
    </w:p>
    <w:p w:rsidR="002346C4" w:rsidRDefault="002346C4" w:rsidP="002346C4">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 xml:space="preserve">Where a valid verbal request is received, all employees must be aware that the Staffordshire Commissioner’s Office has a legal responsibility to identify that an </w:t>
      </w:r>
      <w:r w:rsidR="007C7231">
        <w:rPr>
          <w:rFonts w:asciiTheme="minorHAnsi" w:hAnsiTheme="minorHAnsi" w:cstheme="minorHAnsi"/>
          <w:sz w:val="24"/>
          <w:szCs w:val="24"/>
        </w:rPr>
        <w:t>applicant</w:t>
      </w:r>
      <w:r w:rsidRPr="006B5B1A">
        <w:rPr>
          <w:rFonts w:asciiTheme="minorHAnsi" w:hAnsiTheme="minorHAnsi" w:cstheme="minorHAnsi"/>
          <w:sz w:val="24"/>
          <w:szCs w:val="24"/>
        </w:rPr>
        <w:t xml:space="preserve"> has made a request and to handle it accordingly. Therefore, each request must be forwarded to and logged through the Independent Review Manager.</w:t>
      </w:r>
    </w:p>
    <w:p w:rsidR="002346C4" w:rsidRPr="002346C4" w:rsidRDefault="002346C4" w:rsidP="002346C4">
      <w:pPr>
        <w:spacing w:after="0"/>
        <w:jc w:val="both"/>
        <w:rPr>
          <w:rFonts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In most cases the Staffordshire Commissioner’s Office cannot charge a fee to comply with a request for erasure, unless the request is manifestly unfounded or excessive, in which case a “reasonable fee” for the administration costs with complying with the costs may be made.</w:t>
      </w:r>
    </w:p>
    <w:p w:rsidR="002346C4" w:rsidRPr="00B9536E" w:rsidRDefault="002346C4" w:rsidP="002346C4">
      <w:pPr>
        <w:pStyle w:val="ListParagraph"/>
        <w:spacing w:after="0"/>
        <w:ind w:left="0"/>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Time Limits</w:t>
            </w:r>
          </w:p>
        </w:tc>
      </w:tr>
    </w:tbl>
    <w:p w:rsidR="002346C4" w:rsidRPr="004C2E16" w:rsidRDefault="002346C4" w:rsidP="004C2E16">
      <w:pPr>
        <w:pStyle w:val="ListParagraph"/>
        <w:numPr>
          <w:ilvl w:val="1"/>
          <w:numId w:val="1"/>
        </w:numPr>
        <w:spacing w:after="0"/>
        <w:jc w:val="both"/>
        <w:rPr>
          <w:rFonts w:cstheme="minorHAnsi"/>
          <w:sz w:val="24"/>
          <w:szCs w:val="24"/>
        </w:rPr>
      </w:pPr>
      <w:r w:rsidRPr="004C2E16">
        <w:rPr>
          <w:rFonts w:cstheme="minorHAnsi"/>
          <w:sz w:val="24"/>
          <w:szCs w:val="24"/>
        </w:rPr>
        <w:t xml:space="preserve">The Independent Review Manager must act upon the request without undue delay and at the latest within one month of receipt. The time limit will start from the next </w:t>
      </w:r>
      <w:r w:rsidR="00BB706C">
        <w:rPr>
          <w:rFonts w:cstheme="minorHAnsi"/>
          <w:sz w:val="24"/>
          <w:szCs w:val="24"/>
        </w:rPr>
        <w:t xml:space="preserve">working </w:t>
      </w:r>
      <w:r w:rsidRPr="004C2E16">
        <w:rPr>
          <w:rFonts w:cstheme="minorHAnsi"/>
          <w:sz w:val="24"/>
          <w:szCs w:val="24"/>
        </w:rPr>
        <w:t xml:space="preserve">day. One month is defined as one calendar month of 30 days. If the corresponding date falls on a weekend or a public holiday, </w:t>
      </w:r>
      <w:r w:rsidR="00BB706C">
        <w:rPr>
          <w:rFonts w:cstheme="minorHAnsi"/>
          <w:sz w:val="24"/>
          <w:szCs w:val="24"/>
        </w:rPr>
        <w:t xml:space="preserve">the </w:t>
      </w:r>
      <w:r w:rsidR="00BB706C" w:rsidRPr="002346C4">
        <w:rPr>
          <w:rFonts w:cstheme="minorHAnsi"/>
          <w:sz w:val="24"/>
          <w:szCs w:val="24"/>
        </w:rPr>
        <w:t>Staffordshire Commissioner’s Office</w:t>
      </w:r>
      <w:r w:rsidRPr="004C2E16">
        <w:rPr>
          <w:rFonts w:cstheme="minorHAnsi"/>
          <w:sz w:val="24"/>
          <w:szCs w:val="24"/>
        </w:rPr>
        <w:t xml:space="preserve"> will have until the next working day to respond.</w:t>
      </w:r>
    </w:p>
    <w:p w:rsidR="002346C4" w:rsidRPr="00B9536E" w:rsidRDefault="002346C4" w:rsidP="002346C4">
      <w:pPr>
        <w:pStyle w:val="ListParagraph"/>
        <w:spacing w:after="0"/>
        <w:ind w:left="405"/>
        <w:jc w:val="both"/>
        <w:rPr>
          <w:rFonts w:asciiTheme="minorHAnsi" w:hAnsiTheme="minorHAnsi"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The time to respond can be extended by a further two</w:t>
      </w:r>
      <w:r w:rsidR="00BB706C">
        <w:rPr>
          <w:rFonts w:asciiTheme="minorHAnsi" w:hAnsiTheme="minorHAnsi" w:cstheme="minorHAnsi"/>
          <w:sz w:val="24"/>
          <w:szCs w:val="24"/>
        </w:rPr>
        <w:t xml:space="preserve"> calendar</w:t>
      </w:r>
      <w:r w:rsidRPr="00B9536E">
        <w:rPr>
          <w:rFonts w:asciiTheme="minorHAnsi" w:hAnsiTheme="minorHAnsi" w:cstheme="minorHAnsi"/>
          <w:sz w:val="24"/>
          <w:szCs w:val="24"/>
        </w:rPr>
        <w:t xml:space="preserve"> months if the request is complex or if the Independent Review Manager has received a number of requests from the </w:t>
      </w:r>
      <w:r w:rsidR="007C7231">
        <w:rPr>
          <w:rFonts w:asciiTheme="minorHAnsi" w:hAnsiTheme="minorHAnsi" w:cstheme="minorHAnsi"/>
          <w:sz w:val="24"/>
          <w:szCs w:val="24"/>
        </w:rPr>
        <w:t>applicant</w:t>
      </w:r>
      <w:r w:rsidRPr="00B9536E">
        <w:rPr>
          <w:rFonts w:asciiTheme="minorHAnsi" w:hAnsiTheme="minorHAnsi" w:cstheme="minorHAnsi"/>
          <w:sz w:val="24"/>
          <w:szCs w:val="24"/>
        </w:rPr>
        <w:t>.</w:t>
      </w:r>
    </w:p>
    <w:p w:rsidR="002346C4" w:rsidRPr="00B9536E" w:rsidRDefault="002346C4" w:rsidP="002346C4">
      <w:pPr>
        <w:spacing w:after="0"/>
        <w:jc w:val="both"/>
        <w:rPr>
          <w:rFonts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The applicant must be advised without undue delay and within one</w:t>
      </w:r>
      <w:r w:rsidR="00BB706C">
        <w:rPr>
          <w:rFonts w:asciiTheme="minorHAnsi" w:hAnsiTheme="minorHAnsi" w:cstheme="minorHAnsi"/>
          <w:sz w:val="24"/>
          <w:szCs w:val="24"/>
        </w:rPr>
        <w:t xml:space="preserve"> calendar</w:t>
      </w:r>
      <w:r w:rsidRPr="00B9536E">
        <w:rPr>
          <w:rFonts w:asciiTheme="minorHAnsi" w:hAnsiTheme="minorHAnsi" w:cstheme="minorHAnsi"/>
          <w:sz w:val="24"/>
          <w:szCs w:val="24"/>
        </w:rPr>
        <w:t xml:space="preserve"> month of receiving their request and explain why the extension is necessary. However, it is the </w:t>
      </w:r>
      <w:r w:rsidR="00BB706C" w:rsidRPr="002346C4">
        <w:rPr>
          <w:rFonts w:cstheme="minorHAnsi"/>
          <w:sz w:val="24"/>
          <w:szCs w:val="24"/>
        </w:rPr>
        <w:t>Information Commissioner’s Office</w:t>
      </w:r>
      <w:r w:rsidR="00BB706C" w:rsidRPr="00B9536E">
        <w:rPr>
          <w:rFonts w:asciiTheme="minorHAnsi" w:hAnsiTheme="minorHAnsi" w:cstheme="minorHAnsi"/>
          <w:sz w:val="24"/>
          <w:szCs w:val="24"/>
        </w:rPr>
        <w:t xml:space="preserve"> </w:t>
      </w:r>
      <w:r w:rsidRPr="00B9536E">
        <w:rPr>
          <w:rFonts w:asciiTheme="minorHAnsi" w:hAnsiTheme="minorHAnsi" w:cstheme="minorHAnsi"/>
          <w:sz w:val="24"/>
          <w:szCs w:val="24"/>
        </w:rPr>
        <w:t>view that it is unlikely to be reasonable to extend the time limit if:</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it is manifestly unfounded or excessive;</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lastRenderedPageBreak/>
        <w:t>an exemption applies; or</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you are requesting proof of identity before considering the request.</w:t>
      </w:r>
    </w:p>
    <w:p w:rsidR="002346C4" w:rsidRPr="002346C4" w:rsidRDefault="002346C4" w:rsidP="002346C4">
      <w:pPr>
        <w:spacing w:after="0"/>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Processing a Right to Erasure Request</w:t>
            </w:r>
          </w:p>
        </w:tc>
      </w:tr>
    </w:tbl>
    <w:p w:rsidR="002346C4" w:rsidRPr="004C2E16" w:rsidRDefault="002346C4" w:rsidP="004C2E16">
      <w:pPr>
        <w:pStyle w:val="ListParagraph"/>
        <w:numPr>
          <w:ilvl w:val="1"/>
          <w:numId w:val="1"/>
        </w:numPr>
        <w:autoSpaceDE w:val="0"/>
        <w:autoSpaceDN w:val="0"/>
        <w:adjustRightInd w:val="0"/>
        <w:jc w:val="both"/>
        <w:rPr>
          <w:rFonts w:cstheme="minorHAnsi"/>
          <w:color w:val="000000"/>
          <w:sz w:val="24"/>
          <w:szCs w:val="24"/>
        </w:rPr>
      </w:pPr>
      <w:r w:rsidRPr="004C2E16">
        <w:rPr>
          <w:rFonts w:cstheme="minorHAnsi"/>
          <w:color w:val="000000"/>
          <w:sz w:val="24"/>
          <w:szCs w:val="24"/>
        </w:rPr>
        <w:t>A request cannot be accepted until:</w:t>
      </w:r>
    </w:p>
    <w:p w:rsidR="002346C4" w:rsidRPr="002232A7" w:rsidRDefault="002346C4" w:rsidP="002346C4">
      <w:pPr>
        <w:pStyle w:val="ListParagraph"/>
        <w:autoSpaceDE w:val="0"/>
        <w:autoSpaceDN w:val="0"/>
        <w:adjustRightInd w:val="0"/>
        <w:ind w:left="405"/>
        <w:jc w:val="both"/>
        <w:rPr>
          <w:rFonts w:cstheme="minorHAnsi"/>
          <w:color w:val="000000"/>
          <w:sz w:val="24"/>
          <w:szCs w:val="24"/>
        </w:rPr>
      </w:pPr>
      <w:r w:rsidRPr="002232A7">
        <w:rPr>
          <w:rFonts w:cstheme="minorHAnsi"/>
          <w:color w:val="000000"/>
          <w:sz w:val="24"/>
          <w:szCs w:val="24"/>
        </w:rPr>
        <w:t>a)</w:t>
      </w:r>
      <w:r w:rsidRPr="002232A7">
        <w:rPr>
          <w:rFonts w:cstheme="minorHAnsi"/>
          <w:color w:val="000000"/>
          <w:sz w:val="24"/>
          <w:szCs w:val="24"/>
        </w:rPr>
        <w:tab/>
      </w:r>
      <w:r w:rsidR="00BB706C">
        <w:rPr>
          <w:rFonts w:cstheme="minorHAnsi"/>
          <w:color w:val="000000"/>
          <w:sz w:val="24"/>
          <w:szCs w:val="24"/>
        </w:rPr>
        <w:t xml:space="preserve">The </w:t>
      </w:r>
      <w:r w:rsidR="00BB706C" w:rsidRPr="002346C4">
        <w:rPr>
          <w:rFonts w:cstheme="minorHAnsi"/>
          <w:sz w:val="24"/>
          <w:szCs w:val="24"/>
        </w:rPr>
        <w:t>Staffordshire Commissioner’s Office</w:t>
      </w:r>
      <w:r w:rsidR="00BB706C" w:rsidRPr="004C2E16">
        <w:rPr>
          <w:rFonts w:cstheme="minorHAnsi"/>
          <w:sz w:val="24"/>
          <w:szCs w:val="24"/>
        </w:rPr>
        <w:t xml:space="preserve"> </w:t>
      </w:r>
      <w:r w:rsidRPr="002232A7">
        <w:rPr>
          <w:rFonts w:cstheme="minorHAnsi"/>
          <w:color w:val="000000"/>
          <w:sz w:val="24"/>
          <w:szCs w:val="24"/>
        </w:rPr>
        <w:t>ha</w:t>
      </w:r>
      <w:r w:rsidR="00BB706C">
        <w:rPr>
          <w:rFonts w:cstheme="minorHAnsi"/>
          <w:color w:val="000000"/>
          <w:sz w:val="24"/>
          <w:szCs w:val="24"/>
        </w:rPr>
        <w:t>s</w:t>
      </w:r>
      <w:r w:rsidRPr="002232A7">
        <w:rPr>
          <w:rFonts w:cstheme="minorHAnsi"/>
          <w:color w:val="000000"/>
          <w:sz w:val="24"/>
          <w:szCs w:val="24"/>
        </w:rPr>
        <w:t xml:space="preserve"> enough information to complete the request and</w:t>
      </w:r>
    </w:p>
    <w:p w:rsidR="002346C4" w:rsidRDefault="002346C4" w:rsidP="00BB706C">
      <w:pPr>
        <w:pStyle w:val="ListParagraph"/>
        <w:spacing w:after="0"/>
        <w:ind w:left="426"/>
        <w:rPr>
          <w:rFonts w:cstheme="minorHAnsi"/>
          <w:color w:val="000000"/>
          <w:sz w:val="24"/>
          <w:szCs w:val="24"/>
        </w:rPr>
      </w:pPr>
      <w:r w:rsidRPr="002232A7">
        <w:rPr>
          <w:rFonts w:cstheme="minorHAnsi"/>
          <w:color w:val="000000"/>
          <w:sz w:val="24"/>
          <w:szCs w:val="24"/>
        </w:rPr>
        <w:t>b)</w:t>
      </w:r>
      <w:r w:rsidRPr="002232A7">
        <w:rPr>
          <w:rFonts w:cstheme="minorHAnsi"/>
          <w:color w:val="000000"/>
          <w:sz w:val="24"/>
          <w:szCs w:val="24"/>
        </w:rPr>
        <w:tab/>
        <w:t>Identity has been confirmed in accordance with</w:t>
      </w:r>
      <w:r w:rsidR="00BB706C">
        <w:rPr>
          <w:rFonts w:cstheme="minorHAnsi"/>
          <w:color w:val="000000"/>
          <w:sz w:val="24"/>
          <w:szCs w:val="24"/>
        </w:rPr>
        <w:t xml:space="preserve"> Appendix A, </w:t>
      </w:r>
      <w:r w:rsidR="00BB706C" w:rsidRPr="00BB706C">
        <w:rPr>
          <w:rFonts w:cstheme="minorHAnsi"/>
          <w:sz w:val="24"/>
          <w:szCs w:val="24"/>
        </w:rPr>
        <w:t>Documentary Evidence</w:t>
      </w:r>
      <w:r w:rsidR="00BB706C">
        <w:rPr>
          <w:rFonts w:cstheme="minorHAnsi"/>
          <w:sz w:val="24"/>
          <w:szCs w:val="24"/>
        </w:rPr>
        <w:t xml:space="preserve"> </w:t>
      </w:r>
      <w:r w:rsidR="00BB706C" w:rsidRPr="00BB706C">
        <w:rPr>
          <w:rFonts w:cstheme="minorHAnsi"/>
          <w:sz w:val="24"/>
          <w:szCs w:val="24"/>
        </w:rPr>
        <w:t>of Identity</w:t>
      </w:r>
      <w:r w:rsidR="00BB706C" w:rsidRPr="00BB706C">
        <w:rPr>
          <w:rFonts w:cstheme="minorHAnsi"/>
          <w:color w:val="000000"/>
          <w:sz w:val="24"/>
          <w:szCs w:val="24"/>
        </w:rPr>
        <w:t>.</w:t>
      </w:r>
    </w:p>
    <w:p w:rsidR="00BB706C" w:rsidRPr="00BB706C" w:rsidRDefault="00BB706C" w:rsidP="00BB706C">
      <w:pPr>
        <w:spacing w:after="0"/>
        <w:rPr>
          <w:rFonts w:cstheme="minorHAnsi"/>
          <w:b/>
          <w:sz w:val="24"/>
          <w:szCs w:val="24"/>
        </w:rPr>
      </w:pPr>
    </w:p>
    <w:p w:rsidR="002346C4" w:rsidRPr="002346C4" w:rsidRDefault="002346C4" w:rsidP="002346C4">
      <w:pPr>
        <w:autoSpaceDE w:val="0"/>
        <w:autoSpaceDN w:val="0"/>
        <w:adjustRightInd w:val="0"/>
        <w:ind w:left="405"/>
        <w:jc w:val="both"/>
        <w:rPr>
          <w:rFonts w:cstheme="minorHAnsi"/>
          <w:color w:val="000000"/>
          <w:sz w:val="24"/>
          <w:szCs w:val="24"/>
        </w:rPr>
      </w:pPr>
      <w:r w:rsidRPr="002232A7">
        <w:rPr>
          <w:rFonts w:cstheme="minorHAnsi"/>
          <w:color w:val="000000"/>
          <w:sz w:val="24"/>
          <w:szCs w:val="24"/>
        </w:rPr>
        <w:t xml:space="preserve">This means that even though requests can be made verbally they will not be accepted until identity is confirmed. </w:t>
      </w:r>
    </w:p>
    <w:p w:rsidR="002346C4"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 xml:space="preserve">Similar to the process of a Right of Access Request, all of the information that is held on the </w:t>
      </w:r>
      <w:r w:rsidR="007C7231">
        <w:rPr>
          <w:rFonts w:asciiTheme="minorHAnsi" w:hAnsiTheme="minorHAnsi" w:cstheme="minorHAnsi"/>
          <w:sz w:val="24"/>
          <w:szCs w:val="24"/>
        </w:rPr>
        <w:t>applicant</w:t>
      </w:r>
      <w:r w:rsidRPr="00B9536E">
        <w:rPr>
          <w:rFonts w:asciiTheme="minorHAnsi" w:hAnsiTheme="minorHAnsi" w:cstheme="minorHAnsi"/>
          <w:sz w:val="24"/>
          <w:szCs w:val="24"/>
        </w:rPr>
        <w:t xml:space="preserve"> needs to be identified and then established under what category i</w:t>
      </w:r>
      <w:r w:rsidR="00BB706C">
        <w:rPr>
          <w:rFonts w:asciiTheme="minorHAnsi" w:hAnsiTheme="minorHAnsi" w:cstheme="minorHAnsi"/>
          <w:sz w:val="24"/>
          <w:szCs w:val="24"/>
        </w:rPr>
        <w:t>t</w:t>
      </w:r>
      <w:r w:rsidRPr="00B9536E">
        <w:rPr>
          <w:rFonts w:asciiTheme="minorHAnsi" w:hAnsiTheme="minorHAnsi" w:cstheme="minorHAnsi"/>
          <w:sz w:val="24"/>
          <w:szCs w:val="24"/>
        </w:rPr>
        <w:t xml:space="preserve"> falls</w:t>
      </w:r>
      <w:r w:rsidR="000874E8">
        <w:rPr>
          <w:rFonts w:asciiTheme="minorHAnsi" w:hAnsiTheme="minorHAnsi" w:cstheme="minorHAnsi"/>
          <w:sz w:val="24"/>
          <w:szCs w:val="24"/>
        </w:rPr>
        <w:t xml:space="preserve"> and</w:t>
      </w:r>
      <w:r w:rsidRPr="00B9536E">
        <w:rPr>
          <w:rFonts w:asciiTheme="minorHAnsi" w:hAnsiTheme="minorHAnsi" w:cstheme="minorHAnsi"/>
          <w:sz w:val="24"/>
          <w:szCs w:val="24"/>
        </w:rPr>
        <w:t xml:space="preserve"> whether there are any exemptions</w:t>
      </w:r>
      <w:r w:rsidR="000874E8">
        <w:rPr>
          <w:rFonts w:asciiTheme="minorHAnsi" w:hAnsiTheme="minorHAnsi" w:cstheme="minorHAnsi"/>
          <w:sz w:val="24"/>
          <w:szCs w:val="24"/>
        </w:rPr>
        <w:t>.</w:t>
      </w:r>
    </w:p>
    <w:p w:rsidR="002346C4" w:rsidRPr="002346C4" w:rsidRDefault="002346C4" w:rsidP="002346C4">
      <w:pPr>
        <w:spacing w:after="0"/>
        <w:jc w:val="both"/>
        <w:rPr>
          <w:rFonts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Applicants have the right to have their personal data erased if:</w:t>
      </w:r>
    </w:p>
    <w:p w:rsidR="002346C4" w:rsidRPr="00B9536E" w:rsidRDefault="002346C4" w:rsidP="000874E8">
      <w:pPr>
        <w:pStyle w:val="ListParagraph"/>
        <w:numPr>
          <w:ilvl w:val="0"/>
          <w:numId w:val="5"/>
        </w:numPr>
        <w:spacing w:after="0"/>
        <w:rPr>
          <w:rFonts w:asciiTheme="minorHAnsi" w:hAnsiTheme="minorHAnsi" w:cstheme="minorHAnsi"/>
          <w:sz w:val="24"/>
          <w:szCs w:val="24"/>
        </w:rPr>
      </w:pPr>
      <w:r w:rsidRPr="00B9536E">
        <w:rPr>
          <w:rFonts w:asciiTheme="minorHAnsi" w:hAnsiTheme="minorHAnsi" w:cstheme="minorHAnsi"/>
          <w:sz w:val="24"/>
          <w:szCs w:val="24"/>
        </w:rPr>
        <w:t xml:space="preserve">the personal data is no longer necessary for the purpose which </w:t>
      </w:r>
      <w:r w:rsidR="000874E8">
        <w:rPr>
          <w:rFonts w:asciiTheme="minorHAnsi" w:hAnsiTheme="minorHAnsi" w:cstheme="minorHAnsi"/>
          <w:sz w:val="24"/>
          <w:szCs w:val="24"/>
        </w:rPr>
        <w:t xml:space="preserve">the </w:t>
      </w:r>
      <w:r w:rsidR="000874E8" w:rsidRPr="000874E8">
        <w:rPr>
          <w:rFonts w:cstheme="minorHAnsi"/>
          <w:sz w:val="24"/>
          <w:szCs w:val="24"/>
        </w:rPr>
        <w:t>Staffordshire Commissioner’s Office</w:t>
      </w:r>
      <w:r w:rsidR="000874E8">
        <w:rPr>
          <w:rFonts w:cstheme="minorHAnsi"/>
          <w:b/>
          <w:sz w:val="24"/>
          <w:szCs w:val="24"/>
        </w:rPr>
        <w:t xml:space="preserve"> </w:t>
      </w:r>
      <w:r w:rsidRPr="00B9536E">
        <w:rPr>
          <w:rFonts w:asciiTheme="minorHAnsi" w:hAnsiTheme="minorHAnsi" w:cstheme="minorHAnsi"/>
          <w:sz w:val="24"/>
          <w:szCs w:val="24"/>
        </w:rPr>
        <w:t>originally collected or processed it for;</w:t>
      </w:r>
    </w:p>
    <w:p w:rsidR="002346C4" w:rsidRPr="00B9536E" w:rsidRDefault="000874E8" w:rsidP="002346C4">
      <w:pPr>
        <w:pStyle w:val="ListParagraph"/>
        <w:numPr>
          <w:ilvl w:val="0"/>
          <w:numId w:val="3"/>
        </w:numPr>
        <w:spacing w:after="0"/>
        <w:jc w:val="both"/>
        <w:rPr>
          <w:rFonts w:asciiTheme="minorHAnsi" w:hAnsiTheme="minorHAnsi" w:cstheme="minorHAnsi"/>
          <w:sz w:val="24"/>
          <w:szCs w:val="24"/>
        </w:rPr>
      </w:pPr>
      <w:proofErr w:type="spellStart"/>
      <w:r>
        <w:rPr>
          <w:rFonts w:asciiTheme="minorHAnsi" w:hAnsiTheme="minorHAnsi" w:cstheme="minorHAnsi"/>
          <w:sz w:val="24"/>
          <w:szCs w:val="24"/>
        </w:rPr>
        <w:t>the</w:t>
      </w:r>
      <w:proofErr w:type="spellEnd"/>
      <w:r>
        <w:rPr>
          <w:rFonts w:asciiTheme="minorHAnsi" w:hAnsiTheme="minorHAnsi" w:cstheme="minorHAnsi"/>
          <w:sz w:val="24"/>
          <w:szCs w:val="24"/>
        </w:rPr>
        <w:t xml:space="preserve"> </w:t>
      </w:r>
      <w:r w:rsidRPr="000874E8">
        <w:rPr>
          <w:rFonts w:cstheme="minorHAnsi"/>
          <w:sz w:val="24"/>
          <w:szCs w:val="24"/>
        </w:rPr>
        <w:t>Staffordshire Commissioner’s Office</w:t>
      </w:r>
      <w:r>
        <w:rPr>
          <w:rFonts w:cstheme="minorHAnsi"/>
          <w:b/>
          <w:sz w:val="24"/>
          <w:szCs w:val="24"/>
        </w:rPr>
        <w:t xml:space="preserve"> </w:t>
      </w:r>
      <w:r w:rsidR="002346C4" w:rsidRPr="00B9536E">
        <w:rPr>
          <w:rFonts w:asciiTheme="minorHAnsi" w:hAnsiTheme="minorHAnsi" w:cstheme="minorHAnsi"/>
          <w:sz w:val="24"/>
          <w:szCs w:val="24"/>
        </w:rPr>
        <w:t xml:space="preserve">are relying on consent as </w:t>
      </w:r>
      <w:r>
        <w:rPr>
          <w:rFonts w:asciiTheme="minorHAnsi" w:hAnsiTheme="minorHAnsi" w:cstheme="minorHAnsi"/>
          <w:sz w:val="24"/>
          <w:szCs w:val="24"/>
        </w:rPr>
        <w:t xml:space="preserve">the </w:t>
      </w:r>
      <w:r w:rsidR="002346C4" w:rsidRPr="00B9536E">
        <w:rPr>
          <w:rFonts w:asciiTheme="minorHAnsi" w:hAnsiTheme="minorHAnsi" w:cstheme="minorHAnsi"/>
          <w:sz w:val="24"/>
          <w:szCs w:val="24"/>
        </w:rPr>
        <w:t xml:space="preserve">lawful basis for holding the data, and the </w:t>
      </w:r>
      <w:r w:rsidR="007C7231">
        <w:rPr>
          <w:rFonts w:asciiTheme="minorHAnsi" w:hAnsiTheme="minorHAnsi" w:cstheme="minorHAnsi"/>
          <w:sz w:val="24"/>
          <w:szCs w:val="24"/>
        </w:rPr>
        <w:t>applicant</w:t>
      </w:r>
      <w:r w:rsidR="002346C4" w:rsidRPr="00B9536E">
        <w:rPr>
          <w:rFonts w:asciiTheme="minorHAnsi" w:hAnsiTheme="minorHAnsi" w:cstheme="minorHAnsi"/>
          <w:sz w:val="24"/>
          <w:szCs w:val="24"/>
        </w:rPr>
        <w:t xml:space="preserve"> withdraws their consent;</w:t>
      </w:r>
    </w:p>
    <w:p w:rsidR="002346C4" w:rsidRPr="00B9536E" w:rsidRDefault="000874E8" w:rsidP="002346C4">
      <w:pPr>
        <w:pStyle w:val="ListParagraph"/>
        <w:numPr>
          <w:ilvl w:val="0"/>
          <w:numId w:val="3"/>
        </w:numPr>
        <w:spacing w:after="0"/>
        <w:jc w:val="both"/>
        <w:rPr>
          <w:rFonts w:asciiTheme="minorHAnsi" w:hAnsiTheme="minorHAnsi" w:cstheme="minorHAnsi"/>
          <w:sz w:val="24"/>
          <w:szCs w:val="24"/>
        </w:rPr>
      </w:pPr>
      <w:r>
        <w:rPr>
          <w:rFonts w:cstheme="minorHAnsi"/>
          <w:sz w:val="24"/>
          <w:szCs w:val="24"/>
        </w:rPr>
        <w:t xml:space="preserve">the </w:t>
      </w:r>
      <w:r w:rsidRPr="000874E8">
        <w:rPr>
          <w:rFonts w:cstheme="minorHAnsi"/>
          <w:sz w:val="24"/>
          <w:szCs w:val="24"/>
        </w:rPr>
        <w:t>Staffordshire Commissioner’s Office</w:t>
      </w:r>
      <w:r>
        <w:rPr>
          <w:rFonts w:cstheme="minorHAnsi"/>
          <w:b/>
          <w:sz w:val="24"/>
          <w:szCs w:val="24"/>
        </w:rPr>
        <w:t xml:space="preserve"> </w:t>
      </w:r>
      <w:r w:rsidR="002346C4" w:rsidRPr="00B9536E">
        <w:rPr>
          <w:rFonts w:asciiTheme="minorHAnsi" w:hAnsiTheme="minorHAnsi" w:cstheme="minorHAnsi"/>
          <w:sz w:val="24"/>
          <w:szCs w:val="24"/>
        </w:rPr>
        <w:t xml:space="preserve">are relying on legitimate interests as </w:t>
      </w:r>
      <w:r>
        <w:rPr>
          <w:rFonts w:asciiTheme="minorHAnsi" w:hAnsiTheme="minorHAnsi" w:cstheme="minorHAnsi"/>
          <w:sz w:val="24"/>
          <w:szCs w:val="24"/>
        </w:rPr>
        <w:t>the</w:t>
      </w:r>
      <w:r w:rsidR="002346C4" w:rsidRPr="00B9536E">
        <w:rPr>
          <w:rFonts w:asciiTheme="minorHAnsi" w:hAnsiTheme="minorHAnsi" w:cstheme="minorHAnsi"/>
          <w:sz w:val="24"/>
          <w:szCs w:val="24"/>
        </w:rPr>
        <w:t xml:space="preserve"> basis for processing, the </w:t>
      </w:r>
      <w:r w:rsidR="007C7231">
        <w:rPr>
          <w:rFonts w:asciiTheme="minorHAnsi" w:hAnsiTheme="minorHAnsi" w:cstheme="minorHAnsi"/>
          <w:sz w:val="24"/>
          <w:szCs w:val="24"/>
        </w:rPr>
        <w:t>applicant</w:t>
      </w:r>
      <w:r w:rsidR="002346C4" w:rsidRPr="00B9536E">
        <w:rPr>
          <w:rFonts w:asciiTheme="minorHAnsi" w:hAnsiTheme="minorHAnsi" w:cstheme="minorHAnsi"/>
          <w:sz w:val="24"/>
          <w:szCs w:val="24"/>
        </w:rPr>
        <w:t xml:space="preserve"> objects to the processing of their data, and there is no overriding legitimate interest to continue this processing;</w:t>
      </w:r>
    </w:p>
    <w:p w:rsidR="002346C4" w:rsidRPr="00B9536E" w:rsidRDefault="000874E8" w:rsidP="002346C4">
      <w:pPr>
        <w:pStyle w:val="ListParagraph"/>
        <w:numPr>
          <w:ilvl w:val="0"/>
          <w:numId w:val="3"/>
        </w:numPr>
        <w:spacing w:after="0"/>
        <w:jc w:val="both"/>
        <w:rPr>
          <w:rFonts w:asciiTheme="minorHAnsi" w:hAnsiTheme="minorHAnsi" w:cstheme="minorHAnsi"/>
          <w:sz w:val="24"/>
          <w:szCs w:val="24"/>
        </w:rPr>
      </w:pPr>
      <w:r>
        <w:rPr>
          <w:rFonts w:cstheme="minorHAnsi"/>
          <w:sz w:val="24"/>
          <w:szCs w:val="24"/>
        </w:rPr>
        <w:t xml:space="preserve">the </w:t>
      </w:r>
      <w:r w:rsidRPr="000874E8">
        <w:rPr>
          <w:rFonts w:cstheme="minorHAnsi"/>
          <w:sz w:val="24"/>
          <w:szCs w:val="24"/>
        </w:rPr>
        <w:t>Staffordshire Commissioner’s Office</w:t>
      </w:r>
      <w:r>
        <w:rPr>
          <w:rFonts w:cstheme="minorHAnsi"/>
          <w:b/>
          <w:sz w:val="24"/>
          <w:szCs w:val="24"/>
        </w:rPr>
        <w:t xml:space="preserve"> </w:t>
      </w:r>
      <w:r w:rsidR="002346C4" w:rsidRPr="00B9536E">
        <w:rPr>
          <w:rFonts w:asciiTheme="minorHAnsi" w:hAnsiTheme="minorHAnsi" w:cstheme="minorHAnsi"/>
          <w:sz w:val="24"/>
          <w:szCs w:val="24"/>
        </w:rPr>
        <w:t xml:space="preserve">are processing the personal data for direct marketing purposes and the </w:t>
      </w:r>
      <w:r w:rsidR="007C7231">
        <w:rPr>
          <w:rFonts w:asciiTheme="minorHAnsi" w:hAnsiTheme="minorHAnsi" w:cstheme="minorHAnsi"/>
          <w:sz w:val="24"/>
          <w:szCs w:val="24"/>
        </w:rPr>
        <w:t>applicant</w:t>
      </w:r>
      <w:r w:rsidR="002346C4" w:rsidRPr="00B9536E">
        <w:rPr>
          <w:rFonts w:asciiTheme="minorHAnsi" w:hAnsiTheme="minorHAnsi" w:cstheme="minorHAnsi"/>
          <w:sz w:val="24"/>
          <w:szCs w:val="24"/>
        </w:rPr>
        <w:t xml:space="preserve"> objects to that processing;</w:t>
      </w:r>
    </w:p>
    <w:p w:rsidR="002346C4" w:rsidRPr="00B9536E" w:rsidRDefault="000874E8" w:rsidP="002346C4">
      <w:pPr>
        <w:pStyle w:val="ListParagraph"/>
        <w:numPr>
          <w:ilvl w:val="0"/>
          <w:numId w:val="3"/>
        </w:numPr>
        <w:spacing w:after="0"/>
        <w:jc w:val="both"/>
        <w:rPr>
          <w:rFonts w:asciiTheme="minorHAnsi" w:hAnsiTheme="minorHAnsi" w:cstheme="minorHAnsi"/>
          <w:sz w:val="24"/>
          <w:szCs w:val="24"/>
        </w:rPr>
      </w:pPr>
      <w:r>
        <w:rPr>
          <w:rFonts w:cstheme="minorHAnsi"/>
          <w:sz w:val="24"/>
          <w:szCs w:val="24"/>
        </w:rPr>
        <w:t xml:space="preserve">the </w:t>
      </w:r>
      <w:r w:rsidRPr="000874E8">
        <w:rPr>
          <w:rFonts w:cstheme="minorHAnsi"/>
          <w:sz w:val="24"/>
          <w:szCs w:val="24"/>
        </w:rPr>
        <w:t>Staffordshire Commissioner’s Office</w:t>
      </w:r>
      <w:r w:rsidR="002346C4" w:rsidRPr="00B9536E">
        <w:rPr>
          <w:rFonts w:asciiTheme="minorHAnsi" w:hAnsiTheme="minorHAnsi" w:cstheme="minorHAnsi"/>
          <w:sz w:val="24"/>
          <w:szCs w:val="24"/>
        </w:rPr>
        <w:t xml:space="preserve"> have processed the personal data unlawfully (i.e. in breach of the lawfulness requirement of the 1st principle);</w:t>
      </w:r>
    </w:p>
    <w:p w:rsidR="002346C4" w:rsidRPr="00B9536E" w:rsidRDefault="000874E8" w:rsidP="002346C4">
      <w:pPr>
        <w:pStyle w:val="ListParagraph"/>
        <w:numPr>
          <w:ilvl w:val="0"/>
          <w:numId w:val="3"/>
        </w:numPr>
        <w:spacing w:after="0"/>
        <w:jc w:val="both"/>
        <w:rPr>
          <w:rFonts w:asciiTheme="minorHAnsi" w:hAnsiTheme="minorHAnsi" w:cstheme="minorHAnsi"/>
          <w:sz w:val="24"/>
          <w:szCs w:val="24"/>
        </w:rPr>
      </w:pPr>
      <w:r>
        <w:rPr>
          <w:rFonts w:cstheme="minorHAnsi"/>
          <w:sz w:val="24"/>
          <w:szCs w:val="24"/>
        </w:rPr>
        <w:t xml:space="preserve">the </w:t>
      </w:r>
      <w:r w:rsidRPr="000874E8">
        <w:rPr>
          <w:rFonts w:cstheme="minorHAnsi"/>
          <w:sz w:val="24"/>
          <w:szCs w:val="24"/>
        </w:rPr>
        <w:t>Staffordshire Commissioner’s Office</w:t>
      </w:r>
      <w:r w:rsidR="002346C4" w:rsidRPr="00B9536E">
        <w:rPr>
          <w:rFonts w:asciiTheme="minorHAnsi" w:hAnsiTheme="minorHAnsi" w:cstheme="minorHAnsi"/>
          <w:sz w:val="24"/>
          <w:szCs w:val="24"/>
        </w:rPr>
        <w:t xml:space="preserve"> have to do it to comply with a legal obligation; or</w:t>
      </w:r>
    </w:p>
    <w:p w:rsidR="002346C4" w:rsidRPr="00B9536E" w:rsidRDefault="000874E8" w:rsidP="002346C4">
      <w:pPr>
        <w:pStyle w:val="ListParagraph"/>
        <w:numPr>
          <w:ilvl w:val="0"/>
          <w:numId w:val="3"/>
        </w:numPr>
        <w:spacing w:after="0"/>
        <w:jc w:val="both"/>
        <w:rPr>
          <w:rFonts w:asciiTheme="minorHAnsi" w:hAnsiTheme="minorHAnsi" w:cstheme="minorHAnsi"/>
          <w:sz w:val="24"/>
          <w:szCs w:val="24"/>
        </w:rPr>
      </w:pPr>
      <w:r>
        <w:rPr>
          <w:rFonts w:cstheme="minorHAnsi"/>
          <w:sz w:val="24"/>
          <w:szCs w:val="24"/>
        </w:rPr>
        <w:t xml:space="preserve">the </w:t>
      </w:r>
      <w:r w:rsidRPr="000874E8">
        <w:rPr>
          <w:rFonts w:cstheme="minorHAnsi"/>
          <w:sz w:val="24"/>
          <w:szCs w:val="24"/>
        </w:rPr>
        <w:t>Staffordshire Commissioner’s Office</w:t>
      </w:r>
      <w:r>
        <w:rPr>
          <w:rFonts w:cstheme="minorHAnsi"/>
          <w:b/>
          <w:sz w:val="24"/>
          <w:szCs w:val="24"/>
        </w:rPr>
        <w:t xml:space="preserve"> </w:t>
      </w:r>
      <w:r w:rsidR="002346C4" w:rsidRPr="00B9536E">
        <w:rPr>
          <w:rFonts w:asciiTheme="minorHAnsi" w:hAnsiTheme="minorHAnsi" w:cstheme="minorHAnsi"/>
          <w:sz w:val="24"/>
          <w:szCs w:val="24"/>
        </w:rPr>
        <w:t>have processed the personal data to offer information society services</w:t>
      </w:r>
      <w:r w:rsidR="00AA00F4">
        <w:rPr>
          <w:rFonts w:asciiTheme="minorHAnsi" w:hAnsiTheme="minorHAnsi" w:cstheme="minorHAnsi"/>
          <w:sz w:val="24"/>
          <w:szCs w:val="24"/>
        </w:rPr>
        <w:t xml:space="preserve"> (e.g. social media)</w:t>
      </w:r>
      <w:r w:rsidR="002346C4" w:rsidRPr="00B9536E">
        <w:rPr>
          <w:rFonts w:asciiTheme="minorHAnsi" w:hAnsiTheme="minorHAnsi" w:cstheme="minorHAnsi"/>
          <w:sz w:val="24"/>
          <w:szCs w:val="24"/>
        </w:rPr>
        <w:t xml:space="preserve"> to a child.</w:t>
      </w:r>
    </w:p>
    <w:p w:rsidR="002346C4" w:rsidRPr="002346C4" w:rsidRDefault="002346C4" w:rsidP="002346C4">
      <w:pPr>
        <w:spacing w:after="0"/>
        <w:ind w:left="720"/>
        <w:jc w:val="both"/>
        <w:rPr>
          <w:rFonts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Where data is to be erased it must also be ensured that further backup copies, or other information from emails, documents, or communications are likewise deleted or no longer retained.</w:t>
      </w:r>
    </w:p>
    <w:p w:rsidR="002346C4" w:rsidRPr="00B9536E" w:rsidRDefault="002346C4" w:rsidP="002346C4">
      <w:pPr>
        <w:pStyle w:val="ListParagraph"/>
        <w:spacing w:after="0"/>
        <w:ind w:left="405"/>
        <w:jc w:val="both"/>
        <w:rPr>
          <w:rFonts w:asciiTheme="minorHAnsi" w:hAnsiTheme="minorHAnsi" w:cstheme="minorHAnsi"/>
          <w:sz w:val="24"/>
          <w:szCs w:val="24"/>
        </w:rPr>
      </w:pPr>
    </w:p>
    <w:p w:rsidR="002346C4" w:rsidRPr="00AA00F4" w:rsidRDefault="002346C4" w:rsidP="002346C4">
      <w:pPr>
        <w:pStyle w:val="ListParagraph"/>
        <w:numPr>
          <w:ilvl w:val="1"/>
          <w:numId w:val="1"/>
        </w:numPr>
        <w:spacing w:after="0"/>
        <w:jc w:val="both"/>
        <w:rPr>
          <w:rFonts w:asciiTheme="minorHAnsi" w:hAnsiTheme="minorHAnsi" w:cstheme="minorHAnsi"/>
          <w:sz w:val="24"/>
          <w:szCs w:val="24"/>
        </w:rPr>
      </w:pPr>
      <w:r w:rsidRPr="00AA00F4">
        <w:rPr>
          <w:rFonts w:asciiTheme="minorHAnsi" w:hAnsiTheme="minorHAnsi" w:cstheme="minorHAnsi"/>
          <w:sz w:val="24"/>
          <w:szCs w:val="24"/>
        </w:rPr>
        <w:t xml:space="preserve">While the right to erasure will remove most, if not all of the </w:t>
      </w:r>
      <w:r w:rsidR="007C7231">
        <w:rPr>
          <w:rFonts w:asciiTheme="minorHAnsi" w:hAnsiTheme="minorHAnsi" w:cstheme="minorHAnsi"/>
          <w:sz w:val="24"/>
          <w:szCs w:val="24"/>
        </w:rPr>
        <w:t>applicant</w:t>
      </w:r>
      <w:r w:rsidRPr="00AA00F4">
        <w:rPr>
          <w:rFonts w:asciiTheme="minorHAnsi" w:hAnsiTheme="minorHAnsi" w:cstheme="minorHAnsi"/>
          <w:sz w:val="24"/>
          <w:szCs w:val="24"/>
        </w:rPr>
        <w:t xml:space="preserve">’s data, </w:t>
      </w:r>
      <w:r w:rsidR="00AA00F4" w:rsidRPr="00AA00F4">
        <w:rPr>
          <w:rFonts w:asciiTheme="minorHAnsi" w:hAnsiTheme="minorHAnsi" w:cstheme="minorHAnsi"/>
          <w:sz w:val="24"/>
          <w:szCs w:val="24"/>
        </w:rPr>
        <w:t xml:space="preserve">the </w:t>
      </w:r>
      <w:r w:rsidR="00AA00F4" w:rsidRPr="00AA00F4">
        <w:rPr>
          <w:rFonts w:cstheme="minorHAnsi"/>
          <w:sz w:val="24"/>
          <w:szCs w:val="24"/>
        </w:rPr>
        <w:t>Staffordshire Commissioner’s Office</w:t>
      </w:r>
      <w:r w:rsidRPr="00AA00F4">
        <w:rPr>
          <w:rFonts w:asciiTheme="minorHAnsi" w:hAnsiTheme="minorHAnsi" w:cstheme="minorHAnsi"/>
          <w:sz w:val="24"/>
          <w:szCs w:val="24"/>
        </w:rPr>
        <w:t xml:space="preserve"> must retain the request and </w:t>
      </w:r>
      <w:r w:rsidR="00AA00F4" w:rsidRPr="00AA00F4">
        <w:rPr>
          <w:rFonts w:asciiTheme="minorHAnsi" w:hAnsiTheme="minorHAnsi" w:cstheme="minorHAnsi"/>
          <w:sz w:val="24"/>
          <w:szCs w:val="24"/>
        </w:rPr>
        <w:t>the</w:t>
      </w:r>
      <w:r w:rsidRPr="00AA00F4">
        <w:rPr>
          <w:rFonts w:asciiTheme="minorHAnsi" w:hAnsiTheme="minorHAnsi" w:cstheme="minorHAnsi"/>
          <w:sz w:val="24"/>
          <w:szCs w:val="24"/>
        </w:rPr>
        <w:t xml:space="preserve"> action, to show that</w:t>
      </w:r>
      <w:r w:rsidR="00AA00F4" w:rsidRPr="00AA00F4">
        <w:rPr>
          <w:rFonts w:asciiTheme="minorHAnsi" w:hAnsiTheme="minorHAnsi" w:cstheme="minorHAnsi"/>
          <w:sz w:val="24"/>
          <w:szCs w:val="24"/>
        </w:rPr>
        <w:t xml:space="preserve"> </w:t>
      </w:r>
      <w:r w:rsidR="00AA00F4" w:rsidRPr="00AA00F4">
        <w:rPr>
          <w:rFonts w:asciiTheme="minorHAnsi" w:hAnsiTheme="minorHAnsi" w:cstheme="minorHAnsi"/>
          <w:sz w:val="24"/>
          <w:szCs w:val="24"/>
        </w:rPr>
        <w:lastRenderedPageBreak/>
        <w:t xml:space="preserve">the </w:t>
      </w:r>
      <w:r w:rsidR="00AA00F4" w:rsidRPr="00AA00F4">
        <w:rPr>
          <w:rFonts w:cstheme="minorHAnsi"/>
          <w:sz w:val="24"/>
          <w:szCs w:val="24"/>
        </w:rPr>
        <w:t>Staffordshire Commissioner’s Office</w:t>
      </w:r>
      <w:r w:rsidRPr="00AA00F4">
        <w:rPr>
          <w:rFonts w:asciiTheme="minorHAnsi" w:hAnsiTheme="minorHAnsi" w:cstheme="minorHAnsi"/>
          <w:sz w:val="24"/>
          <w:szCs w:val="24"/>
        </w:rPr>
        <w:t xml:space="preserve"> have attempted to comply with Article 17. Until case law demands that</w:t>
      </w:r>
      <w:r w:rsidR="00AA00F4" w:rsidRPr="00AA00F4">
        <w:rPr>
          <w:rFonts w:asciiTheme="minorHAnsi" w:hAnsiTheme="minorHAnsi" w:cstheme="minorHAnsi"/>
          <w:sz w:val="24"/>
          <w:szCs w:val="24"/>
        </w:rPr>
        <w:t xml:space="preserve"> the information should not be retained.</w:t>
      </w:r>
      <w:r w:rsidRPr="00AA00F4">
        <w:rPr>
          <w:rFonts w:asciiTheme="minorHAnsi" w:hAnsiTheme="minorHAnsi" w:cstheme="minorHAnsi"/>
          <w:sz w:val="24"/>
          <w:szCs w:val="24"/>
        </w:rPr>
        <w:t xml:space="preserve"> </w:t>
      </w:r>
    </w:p>
    <w:p w:rsidR="004C2E16" w:rsidRPr="00AA00F4" w:rsidRDefault="004C2E16" w:rsidP="00AA00F4">
      <w:pPr>
        <w:spacing w:after="0"/>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How does the right to erasure apply to data collected from children?</w:t>
            </w:r>
          </w:p>
        </w:tc>
      </w:tr>
    </w:tbl>
    <w:p w:rsidR="004C2E16" w:rsidRDefault="002346C4" w:rsidP="004C2E16">
      <w:pPr>
        <w:pStyle w:val="ListParagraph"/>
        <w:numPr>
          <w:ilvl w:val="1"/>
          <w:numId w:val="1"/>
        </w:numPr>
        <w:spacing w:after="0"/>
        <w:jc w:val="both"/>
        <w:rPr>
          <w:rFonts w:cstheme="minorHAnsi"/>
          <w:sz w:val="24"/>
          <w:szCs w:val="24"/>
        </w:rPr>
      </w:pPr>
      <w:r w:rsidRPr="004C2E16">
        <w:rPr>
          <w:rFonts w:cstheme="minorHAnsi"/>
          <w:sz w:val="24"/>
          <w:szCs w:val="24"/>
        </w:rPr>
        <w:t>There is an emphasis on the right to have personal data erased if the request relates to data collected from children. This reflects the enhanced protection of children’s information, especially in online environments, under UK GDPR.</w:t>
      </w:r>
    </w:p>
    <w:p w:rsidR="004C2E16" w:rsidRDefault="004C2E16" w:rsidP="004C2E16">
      <w:pPr>
        <w:pStyle w:val="ListParagraph"/>
        <w:spacing w:after="0"/>
        <w:ind w:left="405"/>
        <w:jc w:val="both"/>
        <w:rPr>
          <w:rFonts w:cstheme="minorHAnsi"/>
          <w:sz w:val="24"/>
          <w:szCs w:val="24"/>
        </w:rPr>
      </w:pPr>
    </w:p>
    <w:p w:rsidR="002346C4" w:rsidRPr="004C2E16" w:rsidRDefault="002346C4" w:rsidP="004C2E16">
      <w:pPr>
        <w:pStyle w:val="ListParagraph"/>
        <w:numPr>
          <w:ilvl w:val="1"/>
          <w:numId w:val="1"/>
        </w:numPr>
        <w:spacing w:after="0"/>
        <w:jc w:val="both"/>
        <w:rPr>
          <w:rFonts w:cstheme="minorHAnsi"/>
          <w:sz w:val="24"/>
          <w:szCs w:val="24"/>
        </w:rPr>
      </w:pPr>
      <w:r w:rsidRPr="004C2E16">
        <w:rPr>
          <w:rFonts w:cstheme="minorHAnsi"/>
          <w:sz w:val="24"/>
          <w:szCs w:val="24"/>
        </w:rPr>
        <w:t xml:space="preserve">Therefore, if the Staffordshire Commissioner’s Office has processed data collected from children, particular weight </w:t>
      </w:r>
      <w:r w:rsidR="00AA00F4">
        <w:rPr>
          <w:rFonts w:cstheme="minorHAnsi"/>
          <w:sz w:val="24"/>
          <w:szCs w:val="24"/>
        </w:rPr>
        <w:t xml:space="preserve">will be given </w:t>
      </w:r>
      <w:r w:rsidRPr="004C2E16">
        <w:rPr>
          <w:rFonts w:cstheme="minorHAnsi"/>
          <w:sz w:val="24"/>
          <w:szCs w:val="24"/>
        </w:rPr>
        <w:t>to any request for erasure if the processing of the data is based upon consent given by a child</w:t>
      </w:r>
      <w:r w:rsidR="00AA00F4">
        <w:rPr>
          <w:rFonts w:cstheme="minorHAnsi"/>
          <w:sz w:val="24"/>
          <w:szCs w:val="24"/>
        </w:rPr>
        <w:t xml:space="preserve">, </w:t>
      </w:r>
      <w:r w:rsidRPr="004C2E16">
        <w:rPr>
          <w:rFonts w:cstheme="minorHAnsi"/>
          <w:sz w:val="24"/>
          <w:szCs w:val="24"/>
        </w:rPr>
        <w:t xml:space="preserve">especially any processing of their personal data on the internet. This is still the case when the </w:t>
      </w:r>
      <w:r w:rsidR="007C7231">
        <w:rPr>
          <w:rFonts w:cstheme="minorHAnsi"/>
          <w:sz w:val="24"/>
          <w:szCs w:val="24"/>
        </w:rPr>
        <w:t>applicant</w:t>
      </w:r>
      <w:r w:rsidRPr="004C2E16">
        <w:rPr>
          <w:rFonts w:cstheme="minorHAnsi"/>
          <w:sz w:val="24"/>
          <w:szCs w:val="24"/>
        </w:rPr>
        <w:t xml:space="preserve"> is no longer a child, because a child may not have been fully aware of the risks involved in the processing at the time of consent.</w:t>
      </w:r>
    </w:p>
    <w:p w:rsidR="002346C4" w:rsidRPr="00B9536E" w:rsidRDefault="002346C4" w:rsidP="002346C4">
      <w:pPr>
        <w:pStyle w:val="ListParagraph"/>
        <w:spacing w:after="0"/>
        <w:ind w:left="405"/>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Do we have to tell other organisations about the erasure of personal data?</w:t>
            </w:r>
          </w:p>
        </w:tc>
      </w:tr>
    </w:tbl>
    <w:p w:rsidR="002346C4" w:rsidRPr="004C2E16" w:rsidRDefault="002346C4" w:rsidP="004C2E16">
      <w:pPr>
        <w:pStyle w:val="ListParagraph"/>
        <w:numPr>
          <w:ilvl w:val="1"/>
          <w:numId w:val="1"/>
        </w:numPr>
        <w:spacing w:after="0"/>
        <w:jc w:val="both"/>
        <w:rPr>
          <w:rFonts w:cstheme="minorHAnsi"/>
          <w:sz w:val="24"/>
          <w:szCs w:val="24"/>
        </w:rPr>
      </w:pPr>
      <w:r w:rsidRPr="004C2E16">
        <w:rPr>
          <w:rFonts w:cstheme="minorHAnsi"/>
          <w:sz w:val="24"/>
          <w:szCs w:val="24"/>
        </w:rPr>
        <w:t>UK GDPR specifies two circumstances where</w:t>
      </w:r>
      <w:r w:rsidR="00AA00F4">
        <w:rPr>
          <w:rFonts w:cstheme="minorHAnsi"/>
          <w:sz w:val="24"/>
          <w:szCs w:val="24"/>
        </w:rPr>
        <w:t xml:space="preserve"> the</w:t>
      </w:r>
      <w:r w:rsidRPr="004C2E16">
        <w:rPr>
          <w:rFonts w:cstheme="minorHAnsi"/>
          <w:sz w:val="24"/>
          <w:szCs w:val="24"/>
        </w:rPr>
        <w:t xml:space="preserve"> </w:t>
      </w:r>
      <w:r w:rsidR="00AA00F4" w:rsidRPr="000874E8">
        <w:rPr>
          <w:rFonts w:cstheme="minorHAnsi"/>
          <w:sz w:val="24"/>
          <w:szCs w:val="24"/>
        </w:rPr>
        <w:t>Staffordshire Commissioner’s Office</w:t>
      </w:r>
      <w:r w:rsidRPr="004C2E16">
        <w:rPr>
          <w:rFonts w:cstheme="minorHAnsi"/>
          <w:sz w:val="24"/>
          <w:szCs w:val="24"/>
        </w:rPr>
        <w:t xml:space="preserve"> should tell other organisations about the erasure of personal data:</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the personal data has been disclosed to others; or</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the personal data has been made public in an online environment (for example on social networks, forums or websites).</w:t>
      </w:r>
    </w:p>
    <w:p w:rsidR="002346C4" w:rsidRPr="002346C4" w:rsidRDefault="002346C4" w:rsidP="002346C4">
      <w:pPr>
        <w:spacing w:after="0"/>
        <w:ind w:left="720"/>
        <w:jc w:val="both"/>
        <w:rPr>
          <w:rFonts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 xml:space="preserve">If </w:t>
      </w:r>
      <w:r w:rsidR="00AA00F4">
        <w:rPr>
          <w:rFonts w:asciiTheme="minorHAnsi" w:hAnsiTheme="minorHAnsi" w:cstheme="minorHAnsi"/>
          <w:sz w:val="24"/>
          <w:szCs w:val="24"/>
        </w:rPr>
        <w:t xml:space="preserve">the </w:t>
      </w:r>
      <w:r w:rsidR="00AA00F4" w:rsidRPr="000874E8">
        <w:rPr>
          <w:rFonts w:cstheme="minorHAnsi"/>
          <w:sz w:val="24"/>
          <w:szCs w:val="24"/>
        </w:rPr>
        <w:t>Staffordshire Commissioner’s Office</w:t>
      </w:r>
      <w:r w:rsidRPr="00B9536E">
        <w:rPr>
          <w:rFonts w:asciiTheme="minorHAnsi" w:hAnsiTheme="minorHAnsi" w:cstheme="minorHAnsi"/>
          <w:sz w:val="24"/>
          <w:szCs w:val="24"/>
        </w:rPr>
        <w:t xml:space="preserve"> ha</w:t>
      </w:r>
      <w:r w:rsidR="00AA00F4">
        <w:rPr>
          <w:rFonts w:asciiTheme="minorHAnsi" w:hAnsiTheme="minorHAnsi" w:cstheme="minorHAnsi"/>
          <w:sz w:val="24"/>
          <w:szCs w:val="24"/>
        </w:rPr>
        <w:t xml:space="preserve">s </w:t>
      </w:r>
      <w:r w:rsidRPr="00B9536E">
        <w:rPr>
          <w:rFonts w:asciiTheme="minorHAnsi" w:hAnsiTheme="minorHAnsi" w:cstheme="minorHAnsi"/>
          <w:sz w:val="24"/>
          <w:szCs w:val="24"/>
        </w:rPr>
        <w:t>disclosed the personal data to others, each recipient</w:t>
      </w:r>
      <w:r w:rsidR="00AA00F4">
        <w:rPr>
          <w:rFonts w:asciiTheme="minorHAnsi" w:hAnsiTheme="minorHAnsi" w:cstheme="minorHAnsi"/>
          <w:sz w:val="24"/>
          <w:szCs w:val="24"/>
        </w:rPr>
        <w:t xml:space="preserve"> must be contacted and informed</w:t>
      </w:r>
      <w:r w:rsidRPr="00B9536E">
        <w:rPr>
          <w:rFonts w:asciiTheme="minorHAnsi" w:hAnsiTheme="minorHAnsi" w:cstheme="minorHAnsi"/>
          <w:sz w:val="24"/>
          <w:szCs w:val="24"/>
        </w:rPr>
        <w:t xml:space="preserve"> of the erasure, unless this proves impossible or involves disproportionate effort. If asked to, </w:t>
      </w:r>
      <w:r w:rsidR="00AA00F4">
        <w:rPr>
          <w:rFonts w:asciiTheme="minorHAnsi" w:hAnsiTheme="minorHAnsi" w:cstheme="minorHAnsi"/>
          <w:sz w:val="24"/>
          <w:szCs w:val="24"/>
        </w:rPr>
        <w:t xml:space="preserve">the </w:t>
      </w:r>
      <w:r w:rsidR="00AA00F4" w:rsidRPr="000874E8">
        <w:rPr>
          <w:rFonts w:cstheme="minorHAnsi"/>
          <w:sz w:val="24"/>
          <w:szCs w:val="24"/>
        </w:rPr>
        <w:t>Staffordshire Commissioner’s Office</w:t>
      </w:r>
      <w:r w:rsidRPr="00B9536E">
        <w:rPr>
          <w:rFonts w:asciiTheme="minorHAnsi" w:hAnsiTheme="minorHAnsi" w:cstheme="minorHAnsi"/>
          <w:sz w:val="24"/>
          <w:szCs w:val="24"/>
        </w:rPr>
        <w:t xml:space="preserve"> must inform the </w:t>
      </w:r>
      <w:r w:rsidR="007C7231">
        <w:rPr>
          <w:rFonts w:asciiTheme="minorHAnsi" w:hAnsiTheme="minorHAnsi" w:cstheme="minorHAnsi"/>
          <w:sz w:val="24"/>
          <w:szCs w:val="24"/>
        </w:rPr>
        <w:t>applicant</w:t>
      </w:r>
      <w:r w:rsidRPr="00B9536E">
        <w:rPr>
          <w:rFonts w:asciiTheme="minorHAnsi" w:hAnsiTheme="minorHAnsi" w:cstheme="minorHAnsi"/>
          <w:sz w:val="24"/>
          <w:szCs w:val="24"/>
        </w:rPr>
        <w:t>s about the recipient</w:t>
      </w:r>
      <w:r w:rsidR="00AA00F4">
        <w:rPr>
          <w:rFonts w:asciiTheme="minorHAnsi" w:hAnsiTheme="minorHAnsi" w:cstheme="minorHAnsi"/>
          <w:sz w:val="24"/>
          <w:szCs w:val="24"/>
        </w:rPr>
        <w:t>s of the information.</w:t>
      </w:r>
    </w:p>
    <w:p w:rsidR="002346C4" w:rsidRPr="00B9536E" w:rsidRDefault="002346C4" w:rsidP="002346C4">
      <w:pPr>
        <w:pStyle w:val="ListParagraph"/>
        <w:spacing w:after="0"/>
        <w:ind w:left="405"/>
        <w:jc w:val="both"/>
        <w:rPr>
          <w:rFonts w:asciiTheme="minorHAnsi" w:hAnsiTheme="minorHAnsi"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 xml:space="preserve">UK GDPR defines a recipient as a natural or legal person, public authority, agency or other body to which personal data </w:t>
      </w:r>
      <w:r w:rsidR="00AA00F4">
        <w:rPr>
          <w:rFonts w:asciiTheme="minorHAnsi" w:hAnsiTheme="minorHAnsi" w:cstheme="minorHAnsi"/>
          <w:sz w:val="24"/>
          <w:szCs w:val="24"/>
        </w:rPr>
        <w:t>is</w:t>
      </w:r>
      <w:r w:rsidRPr="00B9536E">
        <w:rPr>
          <w:rFonts w:asciiTheme="minorHAnsi" w:hAnsiTheme="minorHAnsi" w:cstheme="minorHAnsi"/>
          <w:sz w:val="24"/>
          <w:szCs w:val="24"/>
        </w:rPr>
        <w:t xml:space="preserve"> disclosed. The definition includes controllers, processors and persons who, under the direct authority of the controller or processor, are authorised to process personal data.</w:t>
      </w:r>
    </w:p>
    <w:p w:rsidR="002346C4" w:rsidRPr="00B9536E" w:rsidRDefault="002346C4" w:rsidP="002346C4">
      <w:pPr>
        <w:spacing w:after="0"/>
        <w:jc w:val="both"/>
        <w:rPr>
          <w:rFonts w:cstheme="minorHAnsi"/>
          <w:sz w:val="24"/>
          <w:szCs w:val="24"/>
        </w:rPr>
      </w:pPr>
    </w:p>
    <w:p w:rsidR="002346C4" w:rsidRPr="00B9536E" w:rsidRDefault="002346C4" w:rsidP="002346C4">
      <w:pPr>
        <w:pStyle w:val="ListParagraph"/>
        <w:numPr>
          <w:ilvl w:val="1"/>
          <w:numId w:val="1"/>
        </w:numPr>
        <w:spacing w:after="0"/>
        <w:jc w:val="both"/>
        <w:rPr>
          <w:rFonts w:asciiTheme="minorHAnsi" w:hAnsiTheme="minorHAnsi" w:cstheme="minorHAnsi"/>
          <w:sz w:val="24"/>
          <w:szCs w:val="24"/>
        </w:rPr>
      </w:pPr>
      <w:r w:rsidRPr="00B9536E">
        <w:rPr>
          <w:rFonts w:asciiTheme="minorHAnsi" w:hAnsiTheme="minorHAnsi" w:cstheme="minorHAnsi"/>
          <w:sz w:val="24"/>
          <w:szCs w:val="24"/>
        </w:rPr>
        <w:t xml:space="preserve">Where personal data has been made public in an online environment reasonable steps should be taken to inform other controllers who are processing the personal data to erase links to, copies or replication of that data. When deciding what steps are reasonable </w:t>
      </w:r>
      <w:r w:rsidR="00AA00F4">
        <w:rPr>
          <w:rFonts w:asciiTheme="minorHAnsi" w:hAnsiTheme="minorHAnsi" w:cstheme="minorHAnsi"/>
          <w:sz w:val="24"/>
          <w:szCs w:val="24"/>
        </w:rPr>
        <w:t xml:space="preserve">the </w:t>
      </w:r>
      <w:r w:rsidR="00AA00F4" w:rsidRPr="000874E8">
        <w:rPr>
          <w:rFonts w:cstheme="minorHAnsi"/>
          <w:sz w:val="24"/>
          <w:szCs w:val="24"/>
        </w:rPr>
        <w:t>Staffordshire Commissioner’s Office</w:t>
      </w:r>
      <w:r w:rsidRPr="00B9536E">
        <w:rPr>
          <w:rFonts w:asciiTheme="minorHAnsi" w:hAnsiTheme="minorHAnsi" w:cstheme="minorHAnsi"/>
          <w:sz w:val="24"/>
          <w:szCs w:val="24"/>
        </w:rPr>
        <w:t xml:space="preserve"> </w:t>
      </w:r>
      <w:r w:rsidR="00AA00F4">
        <w:rPr>
          <w:rFonts w:asciiTheme="minorHAnsi" w:hAnsiTheme="minorHAnsi" w:cstheme="minorHAnsi"/>
          <w:sz w:val="24"/>
          <w:szCs w:val="24"/>
        </w:rPr>
        <w:t>will</w:t>
      </w:r>
      <w:r w:rsidRPr="00B9536E">
        <w:rPr>
          <w:rFonts w:asciiTheme="minorHAnsi" w:hAnsiTheme="minorHAnsi" w:cstheme="minorHAnsi"/>
          <w:sz w:val="24"/>
          <w:szCs w:val="24"/>
        </w:rPr>
        <w:t xml:space="preserve"> consider available technology and the cost of implementation.</w:t>
      </w:r>
    </w:p>
    <w:p w:rsidR="002346C4" w:rsidRDefault="002346C4" w:rsidP="002346C4">
      <w:pPr>
        <w:spacing w:after="0"/>
        <w:jc w:val="both"/>
        <w:rPr>
          <w:rFonts w:cstheme="minorHAnsi"/>
          <w:sz w:val="24"/>
          <w:szCs w:val="24"/>
        </w:rPr>
      </w:pPr>
    </w:p>
    <w:p w:rsidR="00AA00F4" w:rsidRDefault="00AA00F4" w:rsidP="002346C4">
      <w:pPr>
        <w:spacing w:after="0"/>
        <w:jc w:val="both"/>
        <w:rPr>
          <w:rFonts w:cstheme="minorHAnsi"/>
          <w:sz w:val="24"/>
          <w:szCs w:val="24"/>
        </w:rPr>
      </w:pPr>
    </w:p>
    <w:p w:rsidR="00AA00F4" w:rsidRPr="00B9536E" w:rsidRDefault="00AA00F4" w:rsidP="002346C4">
      <w:pPr>
        <w:spacing w:after="0"/>
        <w:jc w:val="both"/>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lastRenderedPageBreak/>
              <w:t>When Article 17 The Right to Erasure does not apply</w:t>
            </w:r>
          </w:p>
        </w:tc>
      </w:tr>
    </w:tbl>
    <w:p w:rsidR="002346C4" w:rsidRPr="004C2E16" w:rsidRDefault="002346C4" w:rsidP="004C2E16">
      <w:pPr>
        <w:pStyle w:val="ListParagraph"/>
        <w:numPr>
          <w:ilvl w:val="1"/>
          <w:numId w:val="1"/>
        </w:numPr>
        <w:spacing w:after="0"/>
        <w:jc w:val="both"/>
        <w:rPr>
          <w:rFonts w:cstheme="minorHAnsi"/>
          <w:sz w:val="24"/>
          <w:szCs w:val="24"/>
        </w:rPr>
      </w:pPr>
      <w:r w:rsidRPr="004C2E16">
        <w:rPr>
          <w:rFonts w:cstheme="minorHAnsi"/>
          <w:sz w:val="24"/>
          <w:szCs w:val="24"/>
        </w:rPr>
        <w:t>The right to erasure does not apply if processing is necessary for one of the following reasons:</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to exercise the right of freedom of expression and information to comply with a legal obligation; this could include financial records or contracts that are required to be retained for a specific purpose of time period.</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for the performance of a task carried out in the public interest or in the exercise of official authority;</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for archiving purposes in the public interest, scientific research historical research or statistical purposes where erasure is likely to render impossible or seriously impair the achievement of that processing; or</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for the establishment, exercise or defence of legal claims.</w:t>
      </w:r>
    </w:p>
    <w:p w:rsidR="002346C4" w:rsidRPr="00B9536E" w:rsidRDefault="002346C4" w:rsidP="002346C4">
      <w:pPr>
        <w:spacing w:after="0"/>
        <w:jc w:val="both"/>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Refusing a Right to Erasure Request</w:t>
            </w:r>
          </w:p>
        </w:tc>
      </w:tr>
    </w:tbl>
    <w:p w:rsidR="002346C4" w:rsidRPr="005202A0" w:rsidRDefault="002346C4" w:rsidP="005202A0">
      <w:pPr>
        <w:pStyle w:val="ListParagraph"/>
        <w:numPr>
          <w:ilvl w:val="1"/>
          <w:numId w:val="1"/>
        </w:numPr>
        <w:spacing w:after="0"/>
        <w:ind w:left="567" w:hanging="567"/>
        <w:jc w:val="both"/>
        <w:rPr>
          <w:rFonts w:cstheme="minorHAnsi"/>
          <w:sz w:val="24"/>
          <w:szCs w:val="24"/>
        </w:rPr>
      </w:pPr>
      <w:r w:rsidRPr="004C2E16">
        <w:rPr>
          <w:rFonts w:cstheme="minorHAnsi"/>
          <w:sz w:val="24"/>
          <w:szCs w:val="24"/>
        </w:rPr>
        <w:t xml:space="preserve">The Independent Review Manager must inform the </w:t>
      </w:r>
      <w:r w:rsidR="007C7231">
        <w:rPr>
          <w:rFonts w:cstheme="minorHAnsi"/>
          <w:sz w:val="24"/>
          <w:szCs w:val="24"/>
        </w:rPr>
        <w:t>applicant</w:t>
      </w:r>
      <w:r w:rsidRPr="004C2E16">
        <w:rPr>
          <w:rFonts w:cstheme="minorHAnsi"/>
          <w:sz w:val="24"/>
          <w:szCs w:val="24"/>
        </w:rPr>
        <w:t xml:space="preserve"> without delay and</w:t>
      </w:r>
      <w:r w:rsidR="005202A0">
        <w:rPr>
          <w:rFonts w:cstheme="minorHAnsi"/>
          <w:sz w:val="24"/>
          <w:szCs w:val="24"/>
        </w:rPr>
        <w:t xml:space="preserve"> </w:t>
      </w:r>
      <w:r w:rsidRPr="005202A0">
        <w:rPr>
          <w:rFonts w:cstheme="minorHAnsi"/>
          <w:sz w:val="24"/>
          <w:szCs w:val="24"/>
        </w:rPr>
        <w:t>within</w:t>
      </w:r>
      <w:r w:rsidR="005202A0">
        <w:rPr>
          <w:rFonts w:cstheme="minorHAnsi"/>
          <w:sz w:val="24"/>
          <w:szCs w:val="24"/>
        </w:rPr>
        <w:t xml:space="preserve"> </w:t>
      </w:r>
      <w:r w:rsidRPr="005202A0">
        <w:rPr>
          <w:rFonts w:cstheme="minorHAnsi"/>
          <w:sz w:val="24"/>
          <w:szCs w:val="24"/>
        </w:rPr>
        <w:t>one month of receipt of the request about</w:t>
      </w:r>
      <w:r w:rsidR="007C7231">
        <w:rPr>
          <w:rFonts w:cstheme="minorHAnsi"/>
          <w:sz w:val="24"/>
          <w:szCs w:val="24"/>
        </w:rPr>
        <w:t xml:space="preserve"> the following</w:t>
      </w:r>
      <w:r w:rsidRPr="005202A0">
        <w:rPr>
          <w:rFonts w:cstheme="minorHAnsi"/>
          <w:sz w:val="24"/>
          <w:szCs w:val="24"/>
        </w:rPr>
        <w:t>:</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The reason</w:t>
      </w:r>
      <w:r w:rsidR="007C7231">
        <w:rPr>
          <w:rFonts w:asciiTheme="minorHAnsi" w:hAnsiTheme="minorHAnsi" w:cstheme="minorHAnsi"/>
          <w:sz w:val="24"/>
          <w:szCs w:val="24"/>
        </w:rPr>
        <w:t xml:space="preserve"> for refusal</w:t>
      </w:r>
      <w:r w:rsidR="005202A0">
        <w:rPr>
          <w:rFonts w:asciiTheme="minorHAnsi" w:hAnsiTheme="minorHAnsi" w:cstheme="minorHAnsi"/>
          <w:sz w:val="24"/>
          <w:szCs w:val="24"/>
        </w:rPr>
        <w:t>,</w:t>
      </w:r>
    </w:p>
    <w:p w:rsidR="002346C4" w:rsidRPr="00B9536E"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The</w:t>
      </w:r>
      <w:r w:rsidR="007C7231">
        <w:rPr>
          <w:rFonts w:asciiTheme="minorHAnsi" w:hAnsiTheme="minorHAnsi" w:cstheme="minorHAnsi"/>
          <w:sz w:val="24"/>
          <w:szCs w:val="24"/>
        </w:rPr>
        <w:t xml:space="preserve"> applicant’s</w:t>
      </w:r>
      <w:r w:rsidRPr="00B9536E">
        <w:rPr>
          <w:rFonts w:asciiTheme="minorHAnsi" w:hAnsiTheme="minorHAnsi" w:cstheme="minorHAnsi"/>
          <w:sz w:val="24"/>
          <w:szCs w:val="24"/>
        </w:rPr>
        <w:t xml:space="preserve"> right to make a complaint to the Data Protection Officer</w:t>
      </w:r>
      <w:r w:rsidR="005202A0">
        <w:rPr>
          <w:rFonts w:asciiTheme="minorHAnsi" w:hAnsiTheme="minorHAnsi" w:cstheme="minorHAnsi"/>
          <w:sz w:val="24"/>
          <w:szCs w:val="24"/>
        </w:rPr>
        <w:t xml:space="preserve"> (DPO)</w:t>
      </w:r>
      <w:r w:rsidRPr="00B9536E">
        <w:rPr>
          <w:rFonts w:asciiTheme="minorHAnsi" w:hAnsiTheme="minorHAnsi" w:cstheme="minorHAnsi"/>
          <w:sz w:val="24"/>
          <w:szCs w:val="24"/>
        </w:rPr>
        <w:t>, or where needed the details of the Information Commissioner’s Office</w:t>
      </w:r>
      <w:r w:rsidR="005202A0">
        <w:rPr>
          <w:rFonts w:asciiTheme="minorHAnsi" w:hAnsiTheme="minorHAnsi" w:cstheme="minorHAnsi"/>
          <w:sz w:val="24"/>
          <w:szCs w:val="24"/>
        </w:rPr>
        <w:t>,</w:t>
      </w:r>
    </w:p>
    <w:p w:rsidR="002346C4" w:rsidRPr="002346C4" w:rsidRDefault="002346C4" w:rsidP="002346C4">
      <w:pPr>
        <w:pStyle w:val="ListParagraph"/>
        <w:numPr>
          <w:ilvl w:val="0"/>
          <w:numId w:val="3"/>
        </w:numPr>
        <w:spacing w:after="0"/>
        <w:jc w:val="both"/>
        <w:rPr>
          <w:rFonts w:asciiTheme="minorHAnsi" w:hAnsiTheme="minorHAnsi" w:cstheme="minorHAnsi"/>
          <w:sz w:val="24"/>
          <w:szCs w:val="24"/>
        </w:rPr>
      </w:pPr>
      <w:r w:rsidRPr="00B9536E">
        <w:rPr>
          <w:rFonts w:asciiTheme="minorHAnsi" w:hAnsiTheme="minorHAnsi" w:cstheme="minorHAnsi"/>
          <w:sz w:val="24"/>
          <w:szCs w:val="24"/>
        </w:rPr>
        <w:t>The</w:t>
      </w:r>
      <w:r w:rsidR="007C7231">
        <w:rPr>
          <w:rFonts w:asciiTheme="minorHAnsi" w:hAnsiTheme="minorHAnsi" w:cstheme="minorHAnsi"/>
          <w:sz w:val="24"/>
          <w:szCs w:val="24"/>
        </w:rPr>
        <w:t xml:space="preserve"> applicant’s </w:t>
      </w:r>
      <w:r w:rsidRPr="00B9536E">
        <w:rPr>
          <w:rFonts w:asciiTheme="minorHAnsi" w:hAnsiTheme="minorHAnsi" w:cstheme="minorHAnsi"/>
          <w:sz w:val="24"/>
          <w:szCs w:val="24"/>
        </w:rPr>
        <w:t>ability to seek to enforce this right through a judicial remedy.</w:t>
      </w:r>
    </w:p>
    <w:p w:rsidR="002346C4" w:rsidRPr="00B9536E" w:rsidRDefault="002346C4" w:rsidP="002346C4">
      <w:pPr>
        <w:spacing w:after="0"/>
        <w:jc w:val="both"/>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B9536E"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B9536E" w:rsidRDefault="002346C4" w:rsidP="002346C4">
            <w:pPr>
              <w:pStyle w:val="ListParagraph"/>
              <w:numPr>
                <w:ilvl w:val="0"/>
                <w:numId w:val="1"/>
              </w:numPr>
              <w:spacing w:after="0"/>
              <w:rPr>
                <w:rFonts w:asciiTheme="minorHAnsi" w:hAnsiTheme="minorHAnsi" w:cstheme="minorHAnsi"/>
                <w:b/>
                <w:color w:val="FFFFFF"/>
                <w:sz w:val="24"/>
                <w:szCs w:val="24"/>
              </w:rPr>
            </w:pPr>
            <w:r w:rsidRPr="00B9536E">
              <w:rPr>
                <w:rFonts w:asciiTheme="minorHAnsi" w:hAnsiTheme="minorHAnsi" w:cstheme="minorHAnsi"/>
                <w:b/>
                <w:color w:val="FFFFFF"/>
                <w:sz w:val="24"/>
                <w:szCs w:val="24"/>
              </w:rPr>
              <w:t>Data Protection Officer</w:t>
            </w:r>
          </w:p>
        </w:tc>
      </w:tr>
    </w:tbl>
    <w:p w:rsidR="002346C4" w:rsidRPr="004C2E16" w:rsidRDefault="002346C4" w:rsidP="004C2E16">
      <w:pPr>
        <w:spacing w:after="0"/>
        <w:jc w:val="both"/>
        <w:rPr>
          <w:rFonts w:cstheme="minorHAnsi"/>
          <w:sz w:val="24"/>
          <w:szCs w:val="24"/>
        </w:rPr>
      </w:pPr>
      <w:r w:rsidRPr="004C2E16">
        <w:rPr>
          <w:rFonts w:cstheme="minorHAnsi"/>
          <w:sz w:val="24"/>
          <w:szCs w:val="24"/>
        </w:rPr>
        <w:t xml:space="preserve">The </w:t>
      </w:r>
      <w:r w:rsidR="005202A0">
        <w:rPr>
          <w:rFonts w:cstheme="minorHAnsi"/>
          <w:sz w:val="24"/>
          <w:szCs w:val="24"/>
        </w:rPr>
        <w:t xml:space="preserve">DPO </w:t>
      </w:r>
      <w:r w:rsidRPr="004C2E16">
        <w:rPr>
          <w:rFonts w:cstheme="minorHAnsi"/>
          <w:sz w:val="24"/>
          <w:szCs w:val="24"/>
        </w:rPr>
        <w:t>is responsible for ensuring compliance and can investigate breaches or failures of legal compliance. The DPO does not determine how data is managed or the purpose for which it is used. If you wish to contact the DPO you can do so, by using the details below.</w:t>
      </w:r>
    </w:p>
    <w:p w:rsidR="002346C4" w:rsidRPr="00B9536E" w:rsidRDefault="002346C4" w:rsidP="002346C4">
      <w:pPr>
        <w:pStyle w:val="ListParagraph"/>
        <w:spacing w:after="0"/>
        <w:ind w:left="405"/>
        <w:jc w:val="both"/>
        <w:rPr>
          <w:rFonts w:asciiTheme="minorHAnsi" w:hAnsiTheme="minorHAnsi" w:cstheme="minorHAnsi"/>
          <w:sz w:val="24"/>
          <w:szCs w:val="24"/>
        </w:rPr>
      </w:pPr>
    </w:p>
    <w:p w:rsidR="002346C4" w:rsidRPr="00B9536E" w:rsidRDefault="002346C4" w:rsidP="002346C4">
      <w:pPr>
        <w:pStyle w:val="ListParagraph"/>
        <w:spacing w:after="0"/>
        <w:ind w:left="405"/>
        <w:jc w:val="both"/>
        <w:rPr>
          <w:rFonts w:asciiTheme="minorHAnsi" w:hAnsiTheme="minorHAnsi" w:cstheme="minorHAnsi"/>
          <w:sz w:val="24"/>
          <w:szCs w:val="24"/>
        </w:rPr>
      </w:pPr>
      <w:r w:rsidRPr="00B9536E">
        <w:rPr>
          <w:rFonts w:asciiTheme="minorHAnsi" w:hAnsiTheme="minorHAnsi" w:cstheme="minorHAnsi"/>
          <w:sz w:val="24"/>
          <w:szCs w:val="24"/>
        </w:rPr>
        <w:t>By letter:</w:t>
      </w:r>
      <w:r w:rsidRPr="00B9536E">
        <w:rPr>
          <w:rFonts w:asciiTheme="minorHAnsi" w:hAnsiTheme="minorHAnsi" w:cstheme="minorHAnsi"/>
          <w:sz w:val="24"/>
          <w:szCs w:val="24"/>
        </w:rPr>
        <w:tab/>
      </w:r>
      <w:r w:rsidRPr="00B9536E">
        <w:rPr>
          <w:rFonts w:asciiTheme="minorHAnsi" w:hAnsiTheme="minorHAnsi" w:cstheme="minorHAnsi"/>
          <w:sz w:val="24"/>
          <w:szCs w:val="24"/>
        </w:rPr>
        <w:tab/>
        <w:t>The Data Protection Officer</w:t>
      </w:r>
    </w:p>
    <w:p w:rsidR="002346C4" w:rsidRPr="00B9536E" w:rsidRDefault="002346C4" w:rsidP="002346C4">
      <w:pPr>
        <w:pStyle w:val="ListParagraph"/>
        <w:spacing w:after="0"/>
        <w:ind w:left="1845" w:firstLine="315"/>
        <w:jc w:val="both"/>
        <w:rPr>
          <w:rFonts w:asciiTheme="minorHAnsi" w:hAnsiTheme="minorHAnsi" w:cstheme="minorHAnsi"/>
          <w:sz w:val="24"/>
          <w:szCs w:val="24"/>
        </w:rPr>
      </w:pPr>
      <w:r w:rsidRPr="00B9536E">
        <w:rPr>
          <w:rFonts w:asciiTheme="minorHAnsi" w:hAnsiTheme="minorHAnsi" w:cstheme="minorHAnsi"/>
          <w:sz w:val="24"/>
          <w:szCs w:val="24"/>
        </w:rPr>
        <w:t xml:space="preserve">Staffordshire Commissioner’s Office </w:t>
      </w:r>
    </w:p>
    <w:p w:rsidR="002346C4" w:rsidRPr="00B9536E" w:rsidRDefault="002346C4" w:rsidP="002346C4">
      <w:pPr>
        <w:spacing w:after="0"/>
        <w:ind w:left="1440" w:firstLine="720"/>
        <w:jc w:val="both"/>
        <w:rPr>
          <w:rFonts w:cstheme="minorHAnsi"/>
          <w:sz w:val="24"/>
          <w:szCs w:val="24"/>
        </w:rPr>
      </w:pPr>
      <w:r w:rsidRPr="00B9536E">
        <w:rPr>
          <w:rFonts w:cstheme="minorHAnsi"/>
          <w:sz w:val="24"/>
          <w:szCs w:val="24"/>
        </w:rPr>
        <w:t xml:space="preserve">Block 9 </w:t>
      </w:r>
    </w:p>
    <w:p w:rsidR="002346C4" w:rsidRPr="00B9536E" w:rsidRDefault="002346C4" w:rsidP="002346C4">
      <w:pPr>
        <w:pStyle w:val="ListParagraph"/>
        <w:spacing w:after="0"/>
        <w:ind w:left="1845" w:firstLine="315"/>
        <w:jc w:val="both"/>
        <w:rPr>
          <w:rFonts w:asciiTheme="minorHAnsi" w:hAnsiTheme="minorHAnsi" w:cstheme="minorHAnsi"/>
          <w:sz w:val="24"/>
          <w:szCs w:val="24"/>
        </w:rPr>
      </w:pPr>
      <w:r w:rsidRPr="00B9536E">
        <w:rPr>
          <w:rFonts w:asciiTheme="minorHAnsi" w:hAnsiTheme="minorHAnsi" w:cstheme="minorHAnsi"/>
          <w:sz w:val="24"/>
          <w:szCs w:val="24"/>
        </w:rPr>
        <w:t xml:space="preserve">Weston Road </w:t>
      </w:r>
    </w:p>
    <w:p w:rsidR="002346C4" w:rsidRPr="00B9536E" w:rsidRDefault="002346C4" w:rsidP="002346C4">
      <w:pPr>
        <w:spacing w:after="0"/>
        <w:ind w:left="1440" w:firstLine="720"/>
        <w:jc w:val="both"/>
        <w:rPr>
          <w:rFonts w:cstheme="minorHAnsi"/>
          <w:sz w:val="24"/>
          <w:szCs w:val="24"/>
        </w:rPr>
      </w:pPr>
      <w:r w:rsidRPr="00B9536E">
        <w:rPr>
          <w:rFonts w:cstheme="minorHAnsi"/>
          <w:sz w:val="24"/>
          <w:szCs w:val="24"/>
        </w:rPr>
        <w:t xml:space="preserve">Stafford </w:t>
      </w:r>
    </w:p>
    <w:p w:rsidR="002346C4" w:rsidRPr="00B9536E" w:rsidRDefault="002346C4" w:rsidP="002346C4">
      <w:pPr>
        <w:pStyle w:val="ListParagraph"/>
        <w:spacing w:after="0"/>
        <w:ind w:left="1845" w:firstLine="315"/>
        <w:jc w:val="both"/>
        <w:rPr>
          <w:rFonts w:asciiTheme="minorHAnsi" w:hAnsiTheme="minorHAnsi" w:cstheme="minorHAnsi"/>
          <w:sz w:val="24"/>
          <w:szCs w:val="24"/>
        </w:rPr>
      </w:pPr>
      <w:r w:rsidRPr="00B9536E">
        <w:rPr>
          <w:rFonts w:asciiTheme="minorHAnsi" w:hAnsiTheme="minorHAnsi" w:cstheme="minorHAnsi"/>
          <w:sz w:val="24"/>
          <w:szCs w:val="24"/>
        </w:rPr>
        <w:t xml:space="preserve">Staffordshire </w:t>
      </w:r>
    </w:p>
    <w:p w:rsidR="002346C4" w:rsidRDefault="002346C4" w:rsidP="005202A0">
      <w:pPr>
        <w:pStyle w:val="ListParagraph"/>
        <w:spacing w:after="0"/>
        <w:ind w:left="1530" w:firstLine="630"/>
        <w:jc w:val="both"/>
        <w:rPr>
          <w:rFonts w:asciiTheme="minorHAnsi" w:hAnsiTheme="minorHAnsi" w:cstheme="minorHAnsi"/>
          <w:sz w:val="24"/>
          <w:szCs w:val="24"/>
        </w:rPr>
      </w:pPr>
      <w:r w:rsidRPr="00B9536E">
        <w:rPr>
          <w:rFonts w:asciiTheme="minorHAnsi" w:hAnsiTheme="minorHAnsi" w:cstheme="minorHAnsi"/>
          <w:sz w:val="24"/>
          <w:szCs w:val="24"/>
        </w:rPr>
        <w:t xml:space="preserve">ST18 0YY </w:t>
      </w:r>
    </w:p>
    <w:p w:rsidR="005202A0" w:rsidRPr="005202A0" w:rsidRDefault="005202A0" w:rsidP="005202A0">
      <w:pPr>
        <w:pStyle w:val="ListParagraph"/>
        <w:spacing w:after="0"/>
        <w:ind w:left="1530" w:firstLine="630"/>
        <w:jc w:val="both"/>
        <w:rPr>
          <w:rFonts w:asciiTheme="minorHAnsi" w:hAnsiTheme="minorHAnsi" w:cstheme="minorHAnsi"/>
          <w:sz w:val="24"/>
          <w:szCs w:val="24"/>
        </w:rPr>
      </w:pPr>
    </w:p>
    <w:p w:rsidR="002346C4" w:rsidRPr="002346C4" w:rsidRDefault="002346C4" w:rsidP="002346C4">
      <w:pPr>
        <w:ind w:firstLine="405"/>
        <w:rPr>
          <w:rFonts w:eastAsiaTheme="minorEastAsia" w:cstheme="minorHAnsi"/>
          <w:noProof/>
          <w:sz w:val="24"/>
          <w:szCs w:val="24"/>
          <w:lang w:eastAsia="en-GB"/>
        </w:rPr>
      </w:pPr>
      <w:r w:rsidRPr="00B9536E">
        <w:rPr>
          <w:rFonts w:cstheme="minorHAnsi"/>
          <w:sz w:val="24"/>
          <w:szCs w:val="24"/>
        </w:rPr>
        <w:t xml:space="preserve">Email: </w:t>
      </w:r>
      <w:r w:rsidRPr="00B9536E">
        <w:rPr>
          <w:rFonts w:cstheme="minorHAnsi"/>
          <w:sz w:val="24"/>
          <w:szCs w:val="24"/>
        </w:rPr>
        <w:tab/>
      </w:r>
      <w:r w:rsidRPr="00B9536E">
        <w:rPr>
          <w:rFonts w:cstheme="minorHAnsi"/>
          <w:sz w:val="24"/>
          <w:szCs w:val="24"/>
        </w:rPr>
        <w:tab/>
      </w:r>
      <w:hyperlink r:id="rId7" w:history="1">
        <w:r w:rsidRPr="00B9536E">
          <w:rPr>
            <w:rStyle w:val="Hyperlink"/>
            <w:rFonts w:eastAsiaTheme="minorEastAsia" w:cstheme="minorHAnsi"/>
            <w:noProof/>
            <w:sz w:val="24"/>
            <w:szCs w:val="24"/>
            <w:lang w:eastAsia="en-GB"/>
          </w:rPr>
          <w:t>dpo@staffordshire-pfcc.gov.uk</w:t>
        </w:r>
      </w:hyperlink>
      <w:r w:rsidRPr="00B9536E">
        <w:rPr>
          <w:rFonts w:eastAsiaTheme="minorEastAsia" w:cstheme="minorHAnsi"/>
          <w:noProof/>
          <w:sz w:val="24"/>
          <w:szCs w:val="24"/>
          <w:lang w:eastAsia="en-GB"/>
        </w:rPr>
        <w:t xml:space="preserve"> </w:t>
      </w:r>
    </w:p>
    <w:p w:rsidR="002346C4" w:rsidRPr="007C7231" w:rsidRDefault="002346C4" w:rsidP="007C7231">
      <w:pPr>
        <w:pStyle w:val="ListParagraph"/>
        <w:numPr>
          <w:ilvl w:val="0"/>
          <w:numId w:val="1"/>
        </w:numPr>
        <w:spacing w:after="0"/>
        <w:rPr>
          <w:rFonts w:cstheme="minorHAnsi"/>
          <w:b/>
          <w:color w:val="FFFFFF"/>
          <w:sz w:val="24"/>
          <w:szCs w:val="24"/>
        </w:rPr>
      </w:pPr>
      <w:r w:rsidRPr="007C7231">
        <w:rPr>
          <w:rFonts w:cstheme="minorHAnsi"/>
          <w:b/>
          <w:color w:val="FFFFFF"/>
          <w:sz w:val="24"/>
          <w:szCs w:val="24"/>
        </w:rPr>
        <w:t>Attachments</w:t>
      </w:r>
    </w:p>
    <w:p w:rsidR="007C7231" w:rsidRDefault="007C7231" w:rsidP="007C7231">
      <w:pPr>
        <w:spacing w:after="0"/>
        <w:rPr>
          <w:rFonts w:cstheme="minorHAnsi"/>
          <w:b/>
          <w:color w:val="FFFFFF"/>
          <w:sz w:val="24"/>
          <w:szCs w:val="24"/>
        </w:rPr>
      </w:pPr>
    </w:p>
    <w:p w:rsidR="007C7231" w:rsidRDefault="007C7231" w:rsidP="007C7231">
      <w:pPr>
        <w:spacing w:after="0"/>
        <w:rPr>
          <w:rFonts w:cstheme="minorHAnsi"/>
          <w:b/>
          <w:color w:val="FFFFFF"/>
          <w:sz w:val="24"/>
          <w:szCs w:val="24"/>
        </w:rPr>
      </w:pPr>
    </w:p>
    <w:p w:rsidR="007C7231" w:rsidRPr="007C7231" w:rsidRDefault="007C7231" w:rsidP="007C7231">
      <w:pPr>
        <w:spacing w:after="0"/>
        <w:rPr>
          <w:rFonts w:cstheme="minorHAnsi"/>
          <w:b/>
          <w:color w:val="FFFFFF"/>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2346C4" w:rsidRPr="006B5B1A" w:rsidTr="002346C4">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2346C4" w:rsidRPr="006B5B1A" w:rsidRDefault="004C2E16" w:rsidP="00C033A8">
            <w:pPr>
              <w:spacing w:after="0"/>
              <w:jc w:val="both"/>
              <w:rPr>
                <w:rFonts w:cstheme="minorHAnsi"/>
                <w:b/>
                <w:color w:val="FFFFFF"/>
                <w:sz w:val="24"/>
                <w:szCs w:val="24"/>
              </w:rPr>
            </w:pPr>
            <w:r w:rsidRPr="006B5B1A">
              <w:rPr>
                <w:rFonts w:cstheme="minorHAnsi"/>
                <w:b/>
                <w:color w:val="FFFFFF"/>
                <w:sz w:val="24"/>
                <w:szCs w:val="24"/>
              </w:rPr>
              <w:lastRenderedPageBreak/>
              <w:t>1</w:t>
            </w:r>
            <w:r>
              <w:rPr>
                <w:rFonts w:cstheme="minorHAnsi"/>
                <w:b/>
                <w:color w:val="FFFFFF"/>
                <w:sz w:val="24"/>
                <w:szCs w:val="24"/>
              </w:rPr>
              <w:t>2</w:t>
            </w:r>
            <w:r w:rsidRPr="006B5B1A">
              <w:rPr>
                <w:rFonts w:cstheme="minorHAnsi"/>
                <w:b/>
                <w:color w:val="FFFFFF"/>
                <w:sz w:val="24"/>
                <w:szCs w:val="24"/>
              </w:rPr>
              <w:t xml:space="preserve"> Further</w:t>
            </w:r>
            <w:r w:rsidR="002346C4">
              <w:rPr>
                <w:rFonts w:cstheme="minorHAnsi"/>
                <w:b/>
                <w:color w:val="FFFFFF"/>
                <w:sz w:val="24"/>
                <w:szCs w:val="24"/>
              </w:rPr>
              <w:t xml:space="preserve"> Information</w:t>
            </w:r>
          </w:p>
        </w:tc>
      </w:tr>
    </w:tbl>
    <w:p w:rsidR="000874E8" w:rsidRDefault="000874E8" w:rsidP="000874E8">
      <w:pPr>
        <w:pStyle w:val="ListParagraph"/>
        <w:spacing w:after="0"/>
        <w:ind w:left="0"/>
        <w:rPr>
          <w:rFonts w:cstheme="minorHAnsi"/>
          <w:sz w:val="24"/>
          <w:szCs w:val="24"/>
        </w:rPr>
      </w:pPr>
      <w:r>
        <w:rPr>
          <w:rFonts w:cstheme="minorHAnsi"/>
          <w:sz w:val="24"/>
          <w:szCs w:val="24"/>
        </w:rPr>
        <w:t xml:space="preserve">You may find it useful to read this policy alongside the </w:t>
      </w:r>
      <w:r w:rsidRPr="000874E8">
        <w:rPr>
          <w:rFonts w:cstheme="minorHAnsi"/>
          <w:sz w:val="24"/>
          <w:szCs w:val="24"/>
        </w:rPr>
        <w:t>Staffordshire Commissioners Office Right of Access Request Policy and Procedure.</w:t>
      </w:r>
    </w:p>
    <w:p w:rsidR="007C7231" w:rsidRPr="000874E8" w:rsidRDefault="007C7231" w:rsidP="000874E8">
      <w:pPr>
        <w:pStyle w:val="ListParagraph"/>
        <w:spacing w:after="0"/>
        <w:ind w:left="0"/>
        <w:rPr>
          <w:rFonts w:cstheme="minorHAnsi"/>
          <w:b/>
          <w:sz w:val="24"/>
          <w:szCs w:val="24"/>
        </w:rPr>
      </w:pPr>
    </w:p>
    <w:p w:rsidR="000874E8" w:rsidRPr="00B9536E" w:rsidRDefault="000874E8" w:rsidP="002346C4">
      <w:pPr>
        <w:spacing w:after="0"/>
        <w:rPr>
          <w:rFonts w:cstheme="minorHAnsi"/>
          <w:sz w:val="24"/>
          <w:szCs w:val="24"/>
        </w:rPr>
      </w:pPr>
      <w:r>
        <w:rPr>
          <w:rFonts w:cstheme="minorHAnsi"/>
          <w:sz w:val="24"/>
          <w:szCs w:val="24"/>
        </w:rPr>
        <w:t>Further information can also be obtained from the Information Commissioners Office:</w:t>
      </w:r>
    </w:p>
    <w:p w:rsidR="00BB706C" w:rsidRPr="000874E8" w:rsidRDefault="007C7231" w:rsidP="000874E8">
      <w:pPr>
        <w:spacing w:after="0"/>
        <w:ind w:left="720" w:hanging="720"/>
        <w:rPr>
          <w:rFonts w:cstheme="minorHAnsi"/>
          <w:sz w:val="24"/>
          <w:szCs w:val="24"/>
        </w:rPr>
      </w:pPr>
      <w:hyperlink r:id="rId8" w:history="1">
        <w:r w:rsidR="002346C4" w:rsidRPr="00C851DA">
          <w:rPr>
            <w:rStyle w:val="Hyperlink"/>
            <w:rFonts w:cstheme="minorHAnsi"/>
            <w:sz w:val="24"/>
            <w:szCs w:val="24"/>
          </w:rPr>
          <w:t>https://ico.org.uk/for-organisations/guide-to-the-general-data-protection-regulation-gdpr/</w:t>
        </w:r>
        <w:r>
          <w:rPr>
            <w:rStyle w:val="Hyperlink"/>
            <w:rFonts w:cstheme="minorHAnsi"/>
            <w:sz w:val="24"/>
            <w:szCs w:val="24"/>
          </w:rPr>
          <w:t>applicant</w:t>
        </w:r>
        <w:r w:rsidR="002346C4" w:rsidRPr="00C851DA">
          <w:rPr>
            <w:rStyle w:val="Hyperlink"/>
            <w:rFonts w:cstheme="minorHAnsi"/>
            <w:sz w:val="24"/>
            <w:szCs w:val="24"/>
          </w:rPr>
          <w:t>-rights/right-to-erasure/</w:t>
        </w:r>
      </w:hyperlink>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bookmarkStart w:id="1" w:name="_GoBack"/>
      <w:bookmarkEnd w:id="1"/>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7C7231" w:rsidRDefault="007C7231" w:rsidP="00BB706C">
      <w:pPr>
        <w:pStyle w:val="ListParagraph"/>
        <w:spacing w:after="0"/>
        <w:ind w:left="0"/>
        <w:jc w:val="right"/>
        <w:rPr>
          <w:rFonts w:cstheme="minorHAnsi"/>
          <w:b/>
          <w:sz w:val="24"/>
          <w:szCs w:val="24"/>
        </w:rPr>
      </w:pPr>
    </w:p>
    <w:p w:rsidR="00BB706C" w:rsidRDefault="00BB706C" w:rsidP="00BB706C">
      <w:pPr>
        <w:pStyle w:val="ListParagraph"/>
        <w:spacing w:after="0"/>
        <w:ind w:left="0"/>
        <w:jc w:val="right"/>
        <w:rPr>
          <w:rFonts w:cstheme="minorHAnsi"/>
          <w:b/>
          <w:sz w:val="24"/>
          <w:szCs w:val="24"/>
        </w:rPr>
      </w:pPr>
      <w:r>
        <w:rPr>
          <w:rFonts w:cstheme="minorHAnsi"/>
          <w:b/>
          <w:sz w:val="24"/>
          <w:szCs w:val="24"/>
        </w:rPr>
        <w:lastRenderedPageBreak/>
        <w:t>Appendix A</w:t>
      </w:r>
    </w:p>
    <w:p w:rsidR="00BB706C" w:rsidRPr="00A57C21" w:rsidRDefault="00BB706C" w:rsidP="00BB706C">
      <w:pPr>
        <w:pStyle w:val="ListParagraph"/>
        <w:spacing w:after="0"/>
        <w:ind w:left="0"/>
        <w:rPr>
          <w:rFonts w:cstheme="minorHAnsi"/>
          <w:b/>
          <w:sz w:val="24"/>
          <w:szCs w:val="24"/>
        </w:rPr>
      </w:pPr>
      <w:r w:rsidRPr="00A57C21">
        <w:rPr>
          <w:rFonts w:cstheme="minorHAnsi"/>
          <w:b/>
          <w:sz w:val="24"/>
          <w:szCs w:val="24"/>
        </w:rPr>
        <w:t>Documentary Evidence of Identity</w:t>
      </w:r>
    </w:p>
    <w:p w:rsidR="00BB706C" w:rsidRPr="000828EF" w:rsidRDefault="00BB706C" w:rsidP="00BB706C">
      <w:pPr>
        <w:pStyle w:val="ListParagraph"/>
        <w:spacing w:after="0"/>
        <w:ind w:left="0"/>
        <w:rPr>
          <w:rFonts w:cstheme="minorHAnsi"/>
          <w:sz w:val="24"/>
          <w:szCs w:val="24"/>
        </w:rPr>
      </w:pPr>
      <w:r w:rsidRPr="000828EF">
        <w:rPr>
          <w:rFonts w:cstheme="minorHAnsi"/>
          <w:sz w:val="24"/>
          <w:szCs w:val="24"/>
        </w:rPr>
        <w:t>Please supply one from the following categories (copies only).</w:t>
      </w:r>
    </w:p>
    <w:p w:rsidR="00BB706C" w:rsidRPr="000828EF" w:rsidRDefault="00BB706C" w:rsidP="00BB706C">
      <w:pPr>
        <w:pStyle w:val="ListParagraph"/>
        <w:spacing w:after="0"/>
        <w:rPr>
          <w:rFonts w:cstheme="minorHAnsi"/>
          <w:sz w:val="24"/>
          <w:szCs w:val="24"/>
        </w:rPr>
      </w:pP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current passport</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residence permit issued by Home Office to EU Nationals on sight of own country passport</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current UK photocard driving licence</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current benefit book or card or original notification letter from the Department for Work &amp; Pensions confirming the right to benefit</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building industry sub-contractor’s certificate issued by the Inland Revenue</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recent Inland Revenue tax notification</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current firearms certificate</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birth certificate</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adoption certificate</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marriage certificate</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divorce or annulment papers</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Application Registration Card (ARC) issued to people seeking asylum in the UK (or previously issued standard acknowledgement letters, SAL1 or SAL2 forms);</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Home Office letter</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police registration document</w:t>
      </w:r>
    </w:p>
    <w:p w:rsidR="00BB706C" w:rsidRPr="000828EF" w:rsidRDefault="00BB706C" w:rsidP="00BB706C">
      <w:pPr>
        <w:pStyle w:val="ListParagraph"/>
        <w:numPr>
          <w:ilvl w:val="0"/>
          <w:numId w:val="4"/>
        </w:numPr>
        <w:spacing w:after="0"/>
        <w:rPr>
          <w:rFonts w:cstheme="minorHAnsi"/>
          <w:sz w:val="24"/>
          <w:szCs w:val="24"/>
        </w:rPr>
      </w:pPr>
      <w:r w:rsidRPr="000828EF">
        <w:rPr>
          <w:rFonts w:cstheme="minorHAnsi"/>
          <w:sz w:val="24"/>
          <w:szCs w:val="24"/>
        </w:rPr>
        <w:t>HM Forces Identity Card</w:t>
      </w:r>
    </w:p>
    <w:p w:rsidR="00BB706C" w:rsidRDefault="00BB706C" w:rsidP="002346C4">
      <w:pPr>
        <w:spacing w:after="0"/>
        <w:rPr>
          <w:sz w:val="24"/>
          <w:szCs w:val="24"/>
        </w:rPr>
      </w:pPr>
    </w:p>
    <w:p w:rsidR="00EA075C" w:rsidRDefault="00EA075C"/>
    <w:sectPr w:rsidR="00EA075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E9F" w:rsidRDefault="00B22E9F" w:rsidP="00B22E9F">
      <w:pPr>
        <w:spacing w:after="0" w:line="240" w:lineRule="auto"/>
      </w:pPr>
      <w:r>
        <w:separator/>
      </w:r>
    </w:p>
  </w:endnote>
  <w:endnote w:type="continuationSeparator" w:id="0">
    <w:p w:rsidR="00B22E9F" w:rsidRDefault="00B22E9F" w:rsidP="00B2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2514"/>
      <w:docPartObj>
        <w:docPartGallery w:val="Page Numbers (Bottom of Page)"/>
        <w:docPartUnique/>
      </w:docPartObj>
    </w:sdtPr>
    <w:sdtEndPr>
      <w:rPr>
        <w:noProof/>
      </w:rPr>
    </w:sdtEndPr>
    <w:sdtContent>
      <w:p w:rsidR="00B22E9F" w:rsidRDefault="00B22E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22E9F" w:rsidRDefault="00B22E9F">
    <w:pPr>
      <w:pStyle w:val="Footer"/>
    </w:pPr>
    <w:r>
      <w:t>Document Version No</w:t>
    </w:r>
    <w:r w:rsidR="00EA075C">
      <w:t>:</w:t>
    </w:r>
    <w:r>
      <w:t xml:space="preserve"> </w:t>
    </w:r>
    <w:r w:rsidR="00EA075C">
      <w:t>(</w:t>
    </w:r>
    <w:r w:rsidR="004C2E16">
      <w:t>1.2</w:t>
    </w:r>
    <w:r w:rsidR="00EA075C">
      <w:t xml:space="preserve">). </w:t>
    </w:r>
    <w:r w:rsidR="005C6872">
      <w:t xml:space="preserve">Approval </w:t>
    </w:r>
    <w:r>
      <w:t>Date</w:t>
    </w:r>
    <w:r w:rsidR="00EA075C">
      <w:t>:</w:t>
    </w:r>
    <w:r>
      <w:t xml:space="preserve"> </w:t>
    </w:r>
    <w:r w:rsidR="00EA075C">
      <w:t>(</w:t>
    </w:r>
    <w:r w:rsidR="004C2E16">
      <w:t>01</w:t>
    </w:r>
    <w:r>
      <w:t>/</w:t>
    </w:r>
    <w:r w:rsidR="004C2E16">
      <w:t>2024</w:t>
    </w:r>
    <w:r w:rsidR="00EA075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E9F" w:rsidRDefault="00B22E9F" w:rsidP="00B22E9F">
      <w:pPr>
        <w:spacing w:after="0" w:line="240" w:lineRule="auto"/>
      </w:pPr>
      <w:r>
        <w:separator/>
      </w:r>
    </w:p>
  </w:footnote>
  <w:footnote w:type="continuationSeparator" w:id="0">
    <w:p w:rsidR="00B22E9F" w:rsidRDefault="00B22E9F" w:rsidP="00B22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E9F" w:rsidRDefault="00B22E9F" w:rsidP="001D758E">
    <w:pPr>
      <w:pStyle w:val="Header"/>
      <w:jc w:val="center"/>
    </w:pPr>
    <w:r w:rsidRPr="00782738">
      <w:rPr>
        <w:rFonts w:asciiTheme="majorHAnsi" w:eastAsia="Times New Roman" w:hAnsiTheme="majorHAnsi" w:cs="Arial"/>
        <w:bCs/>
        <w:noProof/>
        <w:sz w:val="48"/>
        <w:szCs w:val="48"/>
        <w:lang w:eastAsia="en-GB"/>
      </w:rPr>
      <w:drawing>
        <wp:anchor distT="0" distB="0" distL="114300" distR="114300" simplePos="0" relativeHeight="251659264" behindDoc="0" locked="0" layoutInCell="1" allowOverlap="1" wp14:anchorId="336A4E0E" wp14:editId="10413586">
          <wp:simplePos x="0" y="0"/>
          <wp:positionH relativeFrom="margin">
            <wp:posOffset>3838575</wp:posOffset>
          </wp:positionH>
          <wp:positionV relativeFrom="paragraph">
            <wp:posOffset>-297180</wp:posOffset>
          </wp:positionV>
          <wp:extent cx="2589800" cy="781050"/>
          <wp:effectExtent l="0" t="0" r="1270" b="0"/>
          <wp:wrapNone/>
          <wp:docPr id="17" name="Picture 17" descr="C:\Users\25764\AppData\Local\Microsoft\Windows\Temporary Internet Files\Content.Outlook\YHZQVXC2\CMYK Logo Temp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764\AppData\Local\Microsoft\Windows\Temporary Internet Files\Content.Outlook\YHZQVXC2\CMYK Logo Temp (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9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58E">
      <w:t>Not Protectively Marked</w:t>
    </w:r>
  </w:p>
  <w:p w:rsidR="00B22E9F" w:rsidRDefault="00B22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7687D"/>
    <w:multiLevelType w:val="hybridMultilevel"/>
    <w:tmpl w:val="98C2F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DA1CDB"/>
    <w:multiLevelType w:val="multilevel"/>
    <w:tmpl w:val="B53AE5F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B76F55"/>
    <w:multiLevelType w:val="hybridMultilevel"/>
    <w:tmpl w:val="D4381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C622DBC"/>
    <w:multiLevelType w:val="multilevel"/>
    <w:tmpl w:val="445033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2D09E3"/>
    <w:multiLevelType w:val="hybridMultilevel"/>
    <w:tmpl w:val="E252F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9F"/>
    <w:rsid w:val="000874E8"/>
    <w:rsid w:val="00094A56"/>
    <w:rsid w:val="001D758E"/>
    <w:rsid w:val="002346C4"/>
    <w:rsid w:val="004C2E16"/>
    <w:rsid w:val="005202A0"/>
    <w:rsid w:val="005C6872"/>
    <w:rsid w:val="007C7231"/>
    <w:rsid w:val="00A7469D"/>
    <w:rsid w:val="00AA00F4"/>
    <w:rsid w:val="00B22E9F"/>
    <w:rsid w:val="00BB706C"/>
    <w:rsid w:val="00EA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74CA6"/>
  <w15:chartTrackingRefBased/>
  <w15:docId w15:val="{005A4E5A-ACE6-455C-BBF8-ED3C6252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E9F"/>
  </w:style>
  <w:style w:type="paragraph" w:styleId="Footer">
    <w:name w:val="footer"/>
    <w:basedOn w:val="Normal"/>
    <w:link w:val="FooterChar"/>
    <w:uiPriority w:val="99"/>
    <w:unhideWhenUsed/>
    <w:rsid w:val="00B22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E9F"/>
  </w:style>
  <w:style w:type="table" w:styleId="TableGrid">
    <w:name w:val="Table Grid"/>
    <w:basedOn w:val="TableNormal"/>
    <w:uiPriority w:val="39"/>
    <w:rsid w:val="00B2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C4"/>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346C4"/>
    <w:rPr>
      <w:color w:val="0563C1" w:themeColor="hyperlink"/>
      <w:u w:val="single"/>
    </w:rPr>
  </w:style>
  <w:style w:type="character" w:styleId="UnresolvedMention">
    <w:name w:val="Unresolved Mention"/>
    <w:basedOn w:val="DefaultParagraphFont"/>
    <w:uiPriority w:val="99"/>
    <w:semiHidden/>
    <w:unhideWhenUsed/>
    <w:rsid w:val="0023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erasure/" TargetMode="External"/><Relationship Id="rId3" Type="http://schemas.openxmlformats.org/officeDocument/2006/relationships/settings" Target="settings.xml"/><Relationship Id="rId7" Type="http://schemas.openxmlformats.org/officeDocument/2006/relationships/hyperlink" Target="mailto:dpo@staffordshire-pfc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Victoria Jones</cp:lastModifiedBy>
  <cp:revision>4</cp:revision>
  <dcterms:created xsi:type="dcterms:W3CDTF">2024-02-02T09:11:00Z</dcterms:created>
  <dcterms:modified xsi:type="dcterms:W3CDTF">2024-02-02T14:37:00Z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2024-01-30T09:43:41Z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33788563-4c0d-454f-bea2-28aed3033450</vt:lpwstr>
  </property>
  <property fmtid="{D5CDD505-2E9C-101B-9397-08002B2CF9AE}" pid="8" name="MSIP_Label_c1bd297d-c19e-48a7-882e-4507daab7346_ContentBits">
    <vt:lpwstr>0</vt:lpwstr>
  </property>
</Properties>
</file>